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37955EBB"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2A520D">
        <w:rPr>
          <w:b/>
          <w:sz w:val="24"/>
          <w:szCs w:val="24"/>
        </w:rPr>
        <w:t>#9</w:t>
      </w:r>
      <w:r w:rsidR="00A833B6">
        <w:rPr>
          <w:b/>
          <w:sz w:val="24"/>
          <w:szCs w:val="24"/>
        </w:rPr>
        <w:t>8</w:t>
      </w:r>
      <w:r w:rsidRPr="0007631D">
        <w:rPr>
          <w:b/>
          <w:sz w:val="24"/>
          <w:szCs w:val="24"/>
        </w:rPr>
        <w:tab/>
        <w:t>R1-</w:t>
      </w:r>
      <w:r w:rsidR="00AA4A92">
        <w:rPr>
          <w:b/>
          <w:sz w:val="24"/>
          <w:szCs w:val="24"/>
        </w:rPr>
        <w:t>19</w:t>
      </w:r>
      <w:r w:rsidR="00A76A59">
        <w:rPr>
          <w:b/>
          <w:sz w:val="24"/>
          <w:szCs w:val="24"/>
        </w:rPr>
        <w:t>0928</w:t>
      </w:r>
      <w:r w:rsidR="00EB5F61">
        <w:rPr>
          <w:rFonts w:eastAsia="MS Mincho" w:hint="eastAsia"/>
          <w:b/>
          <w:sz w:val="24"/>
          <w:szCs w:val="24"/>
          <w:lang w:eastAsia="ja-JP"/>
        </w:rPr>
        <w:t>6</w:t>
      </w:r>
    </w:p>
    <w:p w14:paraId="4405AC25" w14:textId="145B9E79" w:rsidR="00433B47" w:rsidRPr="0007631D" w:rsidRDefault="00A833B6" w:rsidP="00433B47">
      <w:pPr>
        <w:tabs>
          <w:tab w:val="center" w:pos="4536"/>
          <w:tab w:val="right" w:pos="9072"/>
        </w:tabs>
        <w:spacing w:after="0"/>
        <w:rPr>
          <w:rFonts w:eastAsia="MS Mincho"/>
          <w:b/>
          <w:bCs/>
          <w:sz w:val="24"/>
          <w:szCs w:val="24"/>
          <w:lang w:eastAsia="ja-JP"/>
        </w:rPr>
      </w:pPr>
      <w:r>
        <w:rPr>
          <w:b/>
          <w:bCs/>
          <w:sz w:val="24"/>
          <w:szCs w:val="24"/>
        </w:rPr>
        <w:t>August</w:t>
      </w:r>
      <w:r w:rsidR="003F4789" w:rsidRPr="0007631D">
        <w:rPr>
          <w:b/>
          <w:bCs/>
          <w:sz w:val="24"/>
          <w:szCs w:val="24"/>
        </w:rPr>
        <w:t xml:space="preserve"> </w:t>
      </w:r>
      <w:r>
        <w:rPr>
          <w:b/>
          <w:bCs/>
          <w:sz w:val="24"/>
          <w:szCs w:val="24"/>
        </w:rPr>
        <w:t>26</w:t>
      </w:r>
      <w:r w:rsidR="002A520D">
        <w:rPr>
          <w:b/>
          <w:bCs/>
          <w:sz w:val="24"/>
          <w:szCs w:val="24"/>
          <w:vertAlign w:val="superscript"/>
        </w:rPr>
        <w:t>th</w:t>
      </w:r>
      <w:r w:rsidR="005925C1">
        <w:rPr>
          <w:b/>
          <w:bCs/>
          <w:sz w:val="24"/>
          <w:szCs w:val="24"/>
        </w:rPr>
        <w:t xml:space="preserve"> –</w:t>
      </w:r>
      <w:r w:rsidR="004118A8">
        <w:rPr>
          <w:b/>
          <w:bCs/>
          <w:sz w:val="24"/>
          <w:szCs w:val="24"/>
        </w:rPr>
        <w:t xml:space="preserve"> </w:t>
      </w:r>
      <w:r>
        <w:rPr>
          <w:b/>
          <w:bCs/>
          <w:sz w:val="24"/>
          <w:szCs w:val="24"/>
        </w:rPr>
        <w:t>30</w:t>
      </w:r>
      <w:r w:rsidR="004118A8" w:rsidRPr="004118A8">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794D287E" w:rsidR="00433B47" w:rsidRPr="0007631D" w:rsidRDefault="00A833B6" w:rsidP="00433B47">
      <w:pPr>
        <w:spacing w:after="0"/>
        <w:jc w:val="both"/>
        <w:rPr>
          <w:b/>
          <w:sz w:val="24"/>
          <w:szCs w:val="24"/>
          <w:lang w:eastAsia="zh-CN"/>
        </w:rPr>
      </w:pPr>
      <w:r>
        <w:rPr>
          <w:b/>
          <w:sz w:val="24"/>
          <w:szCs w:val="24"/>
        </w:rPr>
        <w:t>Prague, Czech Republic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21CECE1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B81D1D">
        <w:rPr>
          <w:b/>
          <w:sz w:val="24"/>
        </w:rPr>
        <w:t>13.3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45D20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B81D1D">
        <w:rPr>
          <w:sz w:val="24"/>
        </w:rPr>
        <w:t>Enhancements for EN-DC Single-Tx TDM Operation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5D0B93A0" w14:textId="4A33541D" w:rsidR="00BC46EE" w:rsidRPr="00FA73D9" w:rsidRDefault="00BC46EE" w:rsidP="00990557">
      <w:pPr>
        <w:jc w:val="both"/>
        <w:rPr>
          <w:rFonts w:asciiTheme="majorBidi" w:hAnsiTheme="majorBidi" w:cstheme="majorBidi"/>
          <w:bCs/>
          <w:iCs/>
        </w:rPr>
      </w:pPr>
      <w:r w:rsidRPr="00FA73D9">
        <w:rPr>
          <w:rFonts w:asciiTheme="majorBidi" w:hAnsiTheme="majorBidi" w:cstheme="majorBidi"/>
          <w:bCs/>
          <w:iCs/>
        </w:rPr>
        <w:t>The need for introducing additional enhancements for single-TX operation of EN-DC, including addressing the LTE uplink link budget issue and DL HARQ related issues, was discussed during the RAN1 AH1901, and the following agreement was reached:</w:t>
      </w:r>
    </w:p>
    <w:p w14:paraId="53EBB1F5" w14:textId="77777777" w:rsidR="00BC46EE" w:rsidRPr="00FA73D9" w:rsidRDefault="00BC46EE" w:rsidP="00BC46EE">
      <w:pPr>
        <w:rPr>
          <w:b/>
          <w:u w:val="single"/>
        </w:rPr>
      </w:pPr>
      <w:r w:rsidRPr="00FA73D9">
        <w:rPr>
          <w:b/>
          <w:u w:val="single"/>
        </w:rPr>
        <w:t>Agreements:</w:t>
      </w:r>
    </w:p>
    <w:p w14:paraId="1416DAB3" w14:textId="4B4FB6E3" w:rsidR="00BC46EE" w:rsidRDefault="00BC46EE" w:rsidP="008C6BC6">
      <w:pPr>
        <w:numPr>
          <w:ilvl w:val="0"/>
          <w:numId w:val="8"/>
        </w:numPr>
        <w:overflowPunct/>
        <w:autoSpaceDE/>
        <w:autoSpaceDN/>
        <w:adjustRightInd/>
        <w:spacing w:after="0"/>
        <w:textAlignment w:val="auto"/>
        <w:rPr>
          <w:i/>
        </w:rPr>
      </w:pPr>
      <w:r w:rsidRPr="00FA73D9">
        <w:rPr>
          <w:i/>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A73D9">
        <w:rPr>
          <w:i/>
        </w:rPr>
        <w:t>eIMTA</w:t>
      </w:r>
      <w:proofErr w:type="spellEnd"/>
      <w:r w:rsidRPr="00FA73D9">
        <w:rPr>
          <w:i/>
        </w:rPr>
        <w:t xml:space="preserve"> solution, etc.</w:t>
      </w:r>
    </w:p>
    <w:p w14:paraId="678C888F" w14:textId="77777777" w:rsidR="003521E0" w:rsidRDefault="003521E0" w:rsidP="003521E0">
      <w:pPr>
        <w:overflowPunct/>
        <w:autoSpaceDE/>
        <w:autoSpaceDN/>
        <w:adjustRightInd/>
        <w:spacing w:after="0"/>
        <w:textAlignment w:val="auto"/>
        <w:rPr>
          <w:i/>
        </w:rPr>
      </w:pPr>
    </w:p>
    <w:p w14:paraId="19CA65C4" w14:textId="184A8073" w:rsidR="003521E0" w:rsidRDefault="003521E0" w:rsidP="003521E0">
      <w:pPr>
        <w:overflowPunct/>
        <w:autoSpaceDE/>
        <w:autoSpaceDN/>
        <w:adjustRightInd/>
        <w:spacing w:after="0"/>
        <w:textAlignment w:val="auto"/>
      </w:pPr>
      <w:r w:rsidRPr="003521E0">
        <w:t>Later, during the RAN1 #96</w:t>
      </w:r>
      <w:r w:rsidR="007A5886">
        <w:t xml:space="preserve"> and #96b</w:t>
      </w:r>
      <w:r w:rsidRPr="003521E0">
        <w:t>, it was agreed that</w:t>
      </w:r>
      <w:r>
        <w:t>:</w:t>
      </w:r>
    </w:p>
    <w:p w14:paraId="1EC447C8" w14:textId="77777777" w:rsidR="003521E0" w:rsidRDefault="003521E0" w:rsidP="003521E0">
      <w:pPr>
        <w:ind w:left="1440" w:hanging="1440"/>
        <w:rPr>
          <w:highlight w:val="green"/>
          <w:lang w:eastAsia="x-none"/>
        </w:rPr>
      </w:pPr>
    </w:p>
    <w:p w14:paraId="663869EB" w14:textId="61F8BF00" w:rsidR="003521E0" w:rsidRPr="00DE1A9E" w:rsidRDefault="003521E0" w:rsidP="003521E0">
      <w:pPr>
        <w:ind w:left="1440" w:hanging="1440"/>
        <w:rPr>
          <w:b/>
          <w:highlight w:val="green"/>
          <w:u w:val="single"/>
          <w:lang w:eastAsia="x-none"/>
        </w:rPr>
      </w:pPr>
      <w:r w:rsidRPr="00DE1A9E">
        <w:rPr>
          <w:b/>
          <w:highlight w:val="green"/>
          <w:u w:val="single"/>
          <w:lang w:eastAsia="x-none"/>
        </w:rPr>
        <w:t>Agreements:</w:t>
      </w:r>
    </w:p>
    <w:p w14:paraId="1D44408D" w14:textId="77777777" w:rsidR="003521E0" w:rsidRPr="00DE1A9E" w:rsidRDefault="003521E0" w:rsidP="003521E0">
      <w:pPr>
        <w:jc w:val="both"/>
        <w:rPr>
          <w:i/>
          <w:lang w:eastAsia="zh-CN"/>
        </w:rPr>
      </w:pPr>
      <w:r w:rsidRPr="00DE1A9E">
        <w:rPr>
          <w:i/>
        </w:rPr>
        <w:t xml:space="preserve">For single </w:t>
      </w:r>
      <w:proofErr w:type="spellStart"/>
      <w:r w:rsidRPr="00DE1A9E">
        <w:rPr>
          <w:i/>
        </w:rPr>
        <w:t>tx</w:t>
      </w:r>
      <w:proofErr w:type="spellEnd"/>
      <w:r w:rsidRPr="00DE1A9E">
        <w:rPr>
          <w:i/>
        </w:rPr>
        <w:t xml:space="preserve"> switched UL in EN-DC with TDD </w:t>
      </w:r>
      <w:proofErr w:type="spellStart"/>
      <w:r w:rsidRPr="00DE1A9E">
        <w:rPr>
          <w:i/>
        </w:rPr>
        <w:t>PCell</w:t>
      </w:r>
      <w:proofErr w:type="spellEnd"/>
      <w:r w:rsidRPr="00DE1A9E">
        <w:rPr>
          <w:i/>
        </w:rPr>
        <w:t xml:space="preserve">, the LTE </w:t>
      </w:r>
      <w:proofErr w:type="spellStart"/>
      <w:r w:rsidRPr="00DE1A9E">
        <w:rPr>
          <w:i/>
        </w:rPr>
        <w:t>PCell</w:t>
      </w:r>
      <w:proofErr w:type="spellEnd"/>
      <w:r w:rsidRPr="00DE1A9E">
        <w:rPr>
          <w:i/>
        </w:rPr>
        <w:t xml:space="preserve"> can be configured</w:t>
      </w:r>
      <w:r w:rsidRPr="00DE1A9E">
        <w:rPr>
          <w:i/>
          <w:lang w:eastAsia="zh-CN"/>
        </w:rPr>
        <w:t xml:space="preserve"> with DL-reference UL/DL config</w:t>
      </w:r>
    </w:p>
    <w:p w14:paraId="5E6D357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DL HARQ timing, the DL-reference UL/DL configuration is applied</w:t>
      </w:r>
    </w:p>
    <w:p w14:paraId="1EA81030"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Only LTE TDD Pattern 2, 4, 5 can be used as DL-reference</w:t>
      </w:r>
    </w:p>
    <w:p w14:paraId="3081B6A3"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For UL HARQ timing is the same as without reference configuration for </w:t>
      </w:r>
      <w:proofErr w:type="spellStart"/>
      <w:r w:rsidRPr="00DE1A9E">
        <w:rPr>
          <w:rFonts w:ascii="Times New Roman" w:hAnsi="Times New Roman"/>
          <w:i/>
          <w:sz w:val="20"/>
          <w:szCs w:val="20"/>
          <w:lang w:eastAsia="zh-CN"/>
        </w:rPr>
        <w:t>PCell’s</w:t>
      </w:r>
      <w:proofErr w:type="spellEnd"/>
      <w:r w:rsidRPr="00DE1A9E">
        <w:rPr>
          <w:rFonts w:ascii="Times New Roman" w:hAnsi="Times New Roman"/>
          <w:i/>
          <w:sz w:val="20"/>
          <w:szCs w:val="20"/>
          <w:lang w:eastAsia="zh-CN"/>
        </w:rPr>
        <w:t xml:space="preserve"> UL/DL configuration other than TDD pattern 0/6, </w:t>
      </w:r>
    </w:p>
    <w:p w14:paraId="7B4863B4"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 xml:space="preserve">FFS: whether/how to support TDD pattern 0/6 for LTE </w:t>
      </w:r>
      <w:proofErr w:type="spellStart"/>
      <w:r w:rsidRPr="00DE1A9E">
        <w:rPr>
          <w:rFonts w:ascii="Times New Roman" w:hAnsi="Times New Roman"/>
          <w:i/>
          <w:color w:val="000000"/>
          <w:sz w:val="20"/>
          <w:szCs w:val="20"/>
          <w:lang w:eastAsia="zh-CN"/>
        </w:rPr>
        <w:t>PCell</w:t>
      </w:r>
      <w:proofErr w:type="spellEnd"/>
    </w:p>
    <w:p w14:paraId="2325DE16"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UE is not expected to transmit on the MCG and SCG simultaneously</w:t>
      </w:r>
    </w:p>
    <w:p w14:paraId="7EC5C8D5"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2 UE (</w:t>
      </w:r>
      <w:r w:rsidRPr="00DE1A9E">
        <w:rPr>
          <w:rFonts w:ascii="Times New Roman" w:hAnsi="Times New Roman"/>
          <w:i/>
          <w:color w:val="000000"/>
          <w:sz w:val="20"/>
          <w:szCs w:val="20"/>
          <w:lang w:eastAsia="zh-CN"/>
        </w:rPr>
        <w:t>i.e., UE without dynamic power sharing capability)</w:t>
      </w:r>
      <w:r w:rsidRPr="00DE1A9E">
        <w:rPr>
          <w:rFonts w:ascii="Times New Roman" w:hAnsi="Times New Roman"/>
          <w:i/>
          <w:sz w:val="20"/>
          <w:szCs w:val="20"/>
          <w:lang w:eastAsia="zh-CN"/>
        </w:rPr>
        <w:t>:</w:t>
      </w:r>
    </w:p>
    <w:p w14:paraId="04B6813A"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UE </w:t>
      </w:r>
      <w:proofErr w:type="gramStart"/>
      <w:r w:rsidRPr="00DE1A9E">
        <w:rPr>
          <w:rFonts w:ascii="Times New Roman" w:hAnsi="Times New Roman"/>
          <w:i/>
          <w:sz w:val="20"/>
          <w:szCs w:val="20"/>
          <w:lang w:eastAsia="zh-CN"/>
        </w:rPr>
        <w:t>is allowed to</w:t>
      </w:r>
      <w:proofErr w:type="gramEnd"/>
      <w:r w:rsidRPr="00DE1A9E">
        <w:rPr>
          <w:rFonts w:ascii="Times New Roman" w:hAnsi="Times New Roman"/>
          <w:i/>
          <w:sz w:val="20"/>
          <w:szCs w:val="20"/>
          <w:lang w:eastAsia="zh-CN"/>
        </w:rPr>
        <w:t xml:space="preserve"> transmit LTE PUSCH only in the UL subframes designated as UL in the DL-reference configuration</w:t>
      </w:r>
    </w:p>
    <w:p w14:paraId="68884CA2"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1 UE (</w:t>
      </w:r>
      <w:r w:rsidRPr="00DE1A9E">
        <w:rPr>
          <w:rFonts w:ascii="Times New Roman" w:hAnsi="Times New Roman"/>
          <w:i/>
          <w:color w:val="000000"/>
          <w:sz w:val="20"/>
          <w:szCs w:val="20"/>
          <w:lang w:eastAsia="zh-CN"/>
        </w:rPr>
        <w:t>i.e., UE with dynamic power sharing capability</w:t>
      </w:r>
      <w:r w:rsidRPr="00DE1A9E">
        <w:rPr>
          <w:rFonts w:ascii="Times New Roman" w:hAnsi="Times New Roman"/>
          <w:i/>
          <w:sz w:val="20"/>
          <w:szCs w:val="20"/>
          <w:lang w:eastAsia="zh-CN"/>
        </w:rPr>
        <w:t xml:space="preserve">): </w:t>
      </w:r>
    </w:p>
    <w:p w14:paraId="4FF0D664"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LTE PUSCH is only scheduled in the UL subframes associated configured by the DL-reference configuration</w:t>
      </w:r>
    </w:p>
    <w:p w14:paraId="655D979D"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NR PUSCH is only scheduled in the remaining UL subframes other than those configured by the DL-reference configuration</w:t>
      </w:r>
    </w:p>
    <w:p w14:paraId="528E4158"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If there is a collision, </w:t>
      </w:r>
    </w:p>
    <w:p w14:paraId="366DA89B"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In the UL subframes designated as UL in the DL-reference configuration, UE is expected to drop NR PUSCH</w:t>
      </w:r>
    </w:p>
    <w:p w14:paraId="27EA21C5"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In other UL subframes, UE </w:t>
      </w:r>
      <w:proofErr w:type="spellStart"/>
      <w:r w:rsidRPr="00DE1A9E">
        <w:rPr>
          <w:rFonts w:ascii="Times New Roman" w:hAnsi="Times New Roman"/>
          <w:i/>
          <w:sz w:val="20"/>
          <w:szCs w:val="20"/>
          <w:lang w:eastAsia="zh-CN"/>
        </w:rPr>
        <w:t>behaviour</w:t>
      </w:r>
      <w:proofErr w:type="spellEnd"/>
      <w:r w:rsidRPr="00DE1A9E">
        <w:rPr>
          <w:rFonts w:ascii="Times New Roman" w:hAnsi="Times New Roman"/>
          <w:i/>
          <w:sz w:val="20"/>
          <w:szCs w:val="20"/>
          <w:lang w:eastAsia="zh-CN"/>
        </w:rPr>
        <w:t xml:space="preserve"> to be expected to </w:t>
      </w:r>
      <w:proofErr w:type="gramStart"/>
      <w:r w:rsidRPr="00DE1A9E">
        <w:rPr>
          <w:rFonts w:ascii="Times New Roman" w:hAnsi="Times New Roman"/>
          <w:i/>
          <w:sz w:val="20"/>
          <w:szCs w:val="20"/>
          <w:lang w:eastAsia="zh-CN"/>
        </w:rPr>
        <w:t>specified</w:t>
      </w:r>
      <w:proofErr w:type="gramEnd"/>
      <w:r w:rsidRPr="00DE1A9E">
        <w:rPr>
          <w:rFonts w:ascii="Times New Roman" w:hAnsi="Times New Roman"/>
          <w:i/>
          <w:sz w:val="20"/>
          <w:szCs w:val="20"/>
          <w:lang w:eastAsia="zh-CN"/>
        </w:rPr>
        <w:t xml:space="preserve"> with details FFS</w:t>
      </w:r>
    </w:p>
    <w:p w14:paraId="5C1E45C7" w14:textId="77777777" w:rsidR="003521E0" w:rsidRPr="00DE1A9E" w:rsidRDefault="003521E0" w:rsidP="003521E0">
      <w:pPr>
        <w:pStyle w:val="ListParagraph"/>
        <w:numPr>
          <w:ilvl w:val="3"/>
          <w:numId w:val="9"/>
        </w:numPr>
        <w:jc w:val="both"/>
        <w:rPr>
          <w:rFonts w:ascii="Times New Roman" w:hAnsi="Times New Roman"/>
          <w:i/>
          <w:sz w:val="20"/>
          <w:szCs w:val="20"/>
          <w:lang w:eastAsia="zh-CN"/>
        </w:rPr>
      </w:pPr>
      <w:r w:rsidRPr="00DE1A9E">
        <w:rPr>
          <w:rFonts w:ascii="Times New Roman" w:hAnsi="Times New Roman"/>
          <w:i/>
          <w:sz w:val="20"/>
          <w:szCs w:val="20"/>
          <w:lang w:eastAsia="zh-CN"/>
        </w:rPr>
        <w:t>E.g., drop LTE PUSCH, drop NR PUSCH, etc.</w:t>
      </w:r>
    </w:p>
    <w:p w14:paraId="1067BA83"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FFS for the case of NR SRS &amp; NR PRACH</w:t>
      </w:r>
    </w:p>
    <w:p w14:paraId="766AF78C"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Note: the impact of switching time (if non-zero) will be further studied.</w:t>
      </w:r>
    </w:p>
    <w:p w14:paraId="00A7AC66"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Note: the above does not assume any restriction between </w:t>
      </w:r>
      <w:proofErr w:type="spellStart"/>
      <w:r w:rsidRPr="00DE1A9E">
        <w:rPr>
          <w:rFonts w:ascii="Times New Roman" w:hAnsi="Times New Roman"/>
          <w:i/>
          <w:sz w:val="20"/>
          <w:szCs w:val="20"/>
          <w:lang w:eastAsia="zh-CN"/>
        </w:rPr>
        <w:t>gNB</w:t>
      </w:r>
      <w:proofErr w:type="spellEnd"/>
      <w:r w:rsidRPr="00DE1A9E">
        <w:rPr>
          <w:rFonts w:ascii="Times New Roman" w:hAnsi="Times New Roman"/>
          <w:i/>
          <w:sz w:val="20"/>
          <w:szCs w:val="20"/>
          <w:lang w:eastAsia="zh-CN"/>
        </w:rPr>
        <w:t xml:space="preserve"> and </w:t>
      </w:r>
      <w:proofErr w:type="spellStart"/>
      <w:r w:rsidRPr="00DE1A9E">
        <w:rPr>
          <w:rFonts w:ascii="Times New Roman" w:hAnsi="Times New Roman"/>
          <w:i/>
          <w:sz w:val="20"/>
          <w:szCs w:val="20"/>
          <w:lang w:eastAsia="zh-CN"/>
        </w:rPr>
        <w:t>eNB</w:t>
      </w:r>
      <w:proofErr w:type="spellEnd"/>
      <w:r w:rsidRPr="00DE1A9E">
        <w:rPr>
          <w:rFonts w:ascii="Times New Roman" w:hAnsi="Times New Roman"/>
          <w:i/>
          <w:sz w:val="20"/>
          <w:szCs w:val="20"/>
          <w:lang w:eastAsia="zh-CN"/>
        </w:rPr>
        <w:t xml:space="preserve"> (e.g., tight coordination)</w:t>
      </w:r>
    </w:p>
    <w:p w14:paraId="3B8D865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FFS: whether/how to support HARQ-offset (similar as in SUO case 1 in EN-DC with LTE FDD </w:t>
      </w:r>
      <w:proofErr w:type="spellStart"/>
      <w:r w:rsidRPr="00DE1A9E">
        <w:rPr>
          <w:rFonts w:ascii="Times New Roman" w:hAnsi="Times New Roman"/>
          <w:i/>
          <w:sz w:val="20"/>
          <w:szCs w:val="20"/>
          <w:lang w:eastAsia="zh-CN"/>
        </w:rPr>
        <w:t>PCell</w:t>
      </w:r>
      <w:proofErr w:type="spellEnd"/>
      <w:r w:rsidRPr="00DE1A9E">
        <w:rPr>
          <w:rFonts w:ascii="Times New Roman" w:hAnsi="Times New Roman"/>
          <w:i/>
          <w:sz w:val="20"/>
          <w:szCs w:val="20"/>
          <w:lang w:eastAsia="zh-CN"/>
        </w:rPr>
        <w:t>)</w:t>
      </w:r>
    </w:p>
    <w:p w14:paraId="3F66B349" w14:textId="16398F7B" w:rsidR="003521E0" w:rsidRDefault="003521E0" w:rsidP="003521E0">
      <w:pPr>
        <w:ind w:left="1440" w:hanging="1440"/>
        <w:rPr>
          <w:lang w:eastAsia="x-none"/>
        </w:rPr>
      </w:pPr>
    </w:p>
    <w:p w14:paraId="784AE9C9" w14:textId="77777777" w:rsidR="007A5886" w:rsidRDefault="007A5886" w:rsidP="00EA1901">
      <w:pPr>
        <w:jc w:val="both"/>
        <w:rPr>
          <w:lang w:eastAsia="x-none"/>
        </w:rPr>
      </w:pPr>
    </w:p>
    <w:p w14:paraId="14470501" w14:textId="77777777" w:rsidR="004F6F96" w:rsidRPr="007A5886" w:rsidRDefault="00881A40" w:rsidP="007A5886">
      <w:pPr>
        <w:jc w:val="both"/>
        <w:rPr>
          <w:lang w:eastAsia="x-none"/>
        </w:rPr>
      </w:pPr>
      <w:r w:rsidRPr="00881A40">
        <w:rPr>
          <w:b/>
          <w:bCs/>
          <w:highlight w:val="green"/>
          <w:u w:val="single"/>
          <w:lang w:val="en-GB" w:eastAsia="x-none"/>
        </w:rPr>
        <w:lastRenderedPageBreak/>
        <w:t>Agreements:</w:t>
      </w:r>
    </w:p>
    <w:p w14:paraId="0397AB11"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DL HARQ timing corresponding to the DL-reference UL/DL configuration used in single Tx in EN-DC with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the following clarifications are agreed:</w:t>
      </w:r>
    </w:p>
    <w:p w14:paraId="6C8A6B63"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use the PDSCH ACK timeline as in Table 10.1.3.1-1 in 36.213.</w:t>
      </w:r>
    </w:p>
    <w:p w14:paraId="1546A85B"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LTE DL CA, the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uses the same DL-reference UL/DL configuration as the </w:t>
      </w:r>
      <w:proofErr w:type="spellStart"/>
      <w:r w:rsidRPr="007A5886">
        <w:rPr>
          <w:rFonts w:ascii="Times New Roman" w:hAnsi="Times New Roman"/>
          <w:i/>
          <w:sz w:val="20"/>
          <w:lang w:val="en-GB" w:eastAsia="x-none"/>
        </w:rPr>
        <w:t>PCell</w:t>
      </w:r>
      <w:proofErr w:type="spellEnd"/>
    </w:p>
    <w:p w14:paraId="52B57A68" w14:textId="77777777" w:rsidR="004F6F96" w:rsidRPr="007A5886" w:rsidRDefault="00881A40" w:rsidP="007A5886">
      <w:pPr>
        <w:pStyle w:val="ListParagraph"/>
        <w:numPr>
          <w:ilvl w:val="1"/>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FDD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 the PDSCH ACK timeline defined for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as in case of LTE FDD-TDD CA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10.1.3A-1 in 36.213)</w:t>
      </w:r>
    </w:p>
    <w:p w14:paraId="1725CF56" w14:textId="77777777" w:rsidR="004F6F96" w:rsidRPr="007A5886" w:rsidRDefault="00881A40" w:rsidP="007A5886">
      <w:pPr>
        <w:pStyle w:val="ListParagraph"/>
        <w:numPr>
          <w:ilvl w:val="1"/>
          <w:numId w:val="12"/>
        </w:numPr>
        <w:jc w:val="both"/>
        <w:rPr>
          <w:rFonts w:ascii="Times New Roman" w:hAnsi="Times New Roman"/>
          <w:i/>
          <w:sz w:val="20"/>
          <w:lang w:eastAsia="x-none"/>
        </w:rPr>
      </w:pPr>
      <w:r w:rsidRPr="007A5886">
        <w:rPr>
          <w:rFonts w:ascii="Times New Roman" w:hAnsi="Times New Roman"/>
          <w:i/>
          <w:sz w:val="20"/>
          <w:lang w:val="en-GB" w:eastAsia="x-none"/>
        </w:rPr>
        <w:t>FFS:</w:t>
      </w:r>
    </w:p>
    <w:p w14:paraId="208FCAC5" w14:textId="77777777" w:rsidR="004F6F96" w:rsidRPr="007A5886" w:rsidRDefault="00881A40" w:rsidP="007A5886">
      <w:pPr>
        <w:pStyle w:val="ListParagraph"/>
        <w:numPr>
          <w:ilvl w:val="2"/>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with different UL/DL configuration (as in SIB1) as the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use the PDSCH ACK timeline for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as in case of LTE FDD-TDD CA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10.1.3A-1 in 36.213)</w:t>
      </w:r>
    </w:p>
    <w:p w14:paraId="4762A7B4" w14:textId="77777777" w:rsidR="004F6F96" w:rsidRPr="007A5886" w:rsidRDefault="00881A40" w:rsidP="007A5886">
      <w:pPr>
        <w:pStyle w:val="ListParagraph"/>
        <w:numPr>
          <w:ilvl w:val="2"/>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with the same UL/DL configuration (as in SIB1) as the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use the same PDSCH ACK timeline as the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10.1.3.1-1 in 36.213)</w:t>
      </w:r>
    </w:p>
    <w:p w14:paraId="0AB8EF87" w14:textId="77777777" w:rsidR="007A5886" w:rsidRPr="007A5886" w:rsidRDefault="007A5886" w:rsidP="007A5886">
      <w:pPr>
        <w:jc w:val="both"/>
        <w:rPr>
          <w:b/>
          <w:bCs/>
          <w:i/>
          <w:u w:val="single"/>
          <w:lang w:val="en-GB" w:eastAsia="x-none"/>
        </w:rPr>
      </w:pPr>
    </w:p>
    <w:p w14:paraId="2EC890D0" w14:textId="6428C275" w:rsidR="004F6F96" w:rsidRPr="007A5886" w:rsidRDefault="00881A40" w:rsidP="007A5886">
      <w:pPr>
        <w:jc w:val="both"/>
        <w:rPr>
          <w:lang w:eastAsia="x-none"/>
        </w:rPr>
      </w:pPr>
      <w:r w:rsidRPr="00881A40">
        <w:rPr>
          <w:b/>
          <w:bCs/>
          <w:highlight w:val="green"/>
          <w:u w:val="single"/>
          <w:lang w:val="en-GB" w:eastAsia="x-none"/>
        </w:rPr>
        <w:t>Agreements:</w:t>
      </w:r>
    </w:p>
    <w:p w14:paraId="5F684F08" w14:textId="1E36137A" w:rsidR="004F6F96" w:rsidRPr="007A5886" w:rsidRDefault="00881A40" w:rsidP="007A5886">
      <w:pPr>
        <w:pStyle w:val="ListParagraph"/>
        <w:numPr>
          <w:ilvl w:val="0"/>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For single UL operation in EN-DC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and UE is configured with DL-reference UL/DL configuration</w:t>
      </w:r>
      <w:r>
        <w:rPr>
          <w:rFonts w:ascii="Times New Roman" w:hAnsi="Times New Roman"/>
          <w:i/>
          <w:sz w:val="20"/>
          <w:lang w:val="en-GB" w:eastAsia="x-none"/>
        </w:rPr>
        <w:t>:</w:t>
      </w:r>
    </w:p>
    <w:p w14:paraId="3FACCD15" w14:textId="77777777" w:rsidR="004F6F96" w:rsidRPr="007A5886" w:rsidRDefault="00881A40" w:rsidP="00881A40">
      <w:pPr>
        <w:pStyle w:val="ListParagraph"/>
        <w:numPr>
          <w:ilvl w:val="1"/>
          <w:numId w:val="13"/>
        </w:numPr>
        <w:jc w:val="both"/>
        <w:rPr>
          <w:rFonts w:ascii="Times New Roman" w:hAnsi="Times New Roman"/>
          <w:i/>
          <w:sz w:val="20"/>
          <w:lang w:eastAsia="x-none"/>
        </w:rPr>
      </w:pPr>
      <w:r w:rsidRPr="007A5886">
        <w:rPr>
          <w:rFonts w:ascii="Times New Roman" w:hAnsi="Times New Roman"/>
          <w:i/>
          <w:sz w:val="20"/>
          <w:lang w:val="en-GB" w:eastAsia="x-none"/>
        </w:rPr>
        <w:t>Support PUCCH formats 3/4/5, PUCCH fallback operation based on implicit resource indication is not supported.</w:t>
      </w:r>
    </w:p>
    <w:p w14:paraId="63447D09"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PUCCH format and resource determination when the UE only receives DAI=1</w:t>
      </w:r>
    </w:p>
    <w:p w14:paraId="557DBD60"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FFS </w:t>
      </w:r>
      <w:proofErr w:type="gramStart"/>
      <w:r w:rsidRPr="007A5886">
        <w:rPr>
          <w:rFonts w:ascii="Times New Roman" w:hAnsi="Times New Roman"/>
          <w:i/>
          <w:sz w:val="20"/>
          <w:lang w:val="en-GB" w:eastAsia="x-none"/>
        </w:rPr>
        <w:t>whether or not</w:t>
      </w:r>
      <w:proofErr w:type="gramEnd"/>
      <w:r w:rsidRPr="007A5886">
        <w:rPr>
          <w:rFonts w:ascii="Times New Roman" w:hAnsi="Times New Roman"/>
          <w:i/>
          <w:sz w:val="20"/>
          <w:lang w:val="en-GB" w:eastAsia="x-none"/>
        </w:rPr>
        <w:t xml:space="preserve"> there are any additional issues related to SPS</w:t>
      </w:r>
    </w:p>
    <w:p w14:paraId="767D83E7" w14:textId="77777777" w:rsidR="007A5886" w:rsidRPr="007A5886" w:rsidRDefault="007A5886" w:rsidP="00EA1901">
      <w:pPr>
        <w:jc w:val="both"/>
        <w:rPr>
          <w:i/>
          <w:lang w:eastAsia="x-none"/>
        </w:rPr>
      </w:pPr>
    </w:p>
    <w:p w14:paraId="0469D57F" w14:textId="6CF7B8E8" w:rsidR="00EA1901" w:rsidRDefault="003521E0" w:rsidP="00EA1901">
      <w:pPr>
        <w:jc w:val="both"/>
        <w:rPr>
          <w:rFonts w:asciiTheme="majorBidi" w:hAnsiTheme="majorBidi" w:cstheme="majorBidi"/>
          <w:bCs/>
          <w:iCs/>
        </w:rPr>
      </w:pPr>
      <w:r>
        <w:rPr>
          <w:lang w:eastAsia="x-none"/>
        </w:rPr>
        <w:t xml:space="preserve">In the remainder of this contribution paper, we present some design details related to the remaining open issues. </w:t>
      </w:r>
    </w:p>
    <w:p w14:paraId="51BA0302" w14:textId="0CEB175D" w:rsidR="00EA1901" w:rsidRPr="00DE44D6" w:rsidRDefault="0041156E" w:rsidP="00EA1901">
      <w:pPr>
        <w:pStyle w:val="Heading1"/>
        <w:jc w:val="both"/>
        <w:rPr>
          <w:rFonts w:ascii="Times New Roman" w:hAnsi="Times New Roman"/>
        </w:rPr>
      </w:pPr>
      <w:r>
        <w:rPr>
          <w:rFonts w:ascii="Times New Roman" w:hAnsi="Times New Roman"/>
        </w:rPr>
        <w:t>Collision Handling</w:t>
      </w:r>
      <w:r w:rsidR="00EA1901">
        <w:rPr>
          <w:rFonts w:ascii="Times New Roman" w:hAnsi="Times New Roman"/>
        </w:rPr>
        <w:t xml:space="preserve"> under EN-DC Single-Tx TDM Operation</w:t>
      </w:r>
    </w:p>
    <w:p w14:paraId="627C778B" w14:textId="77777777" w:rsidR="0041156E" w:rsidRDefault="002A19F1" w:rsidP="00EA1901">
      <w:pPr>
        <w:jc w:val="both"/>
      </w:pPr>
      <w:r>
        <w:t xml:space="preserve">Based on the agreement reached in RAN1 #96, the LTE PUSCH and NR PUSCH transmissions are not </w:t>
      </w:r>
      <w:r w:rsidR="0041156E">
        <w:t xml:space="preserve">restricted to the uplink subframes indicated by the reference DL configurations. In case of collision in subframes indicated as uplink by the downlink reference configurations, NR uplink should be dropped. The remaining issue is to resolve the collision in </w:t>
      </w:r>
      <w:proofErr w:type="gramStart"/>
      <w:r w:rsidR="0041156E">
        <w:t>other</w:t>
      </w:r>
      <w:proofErr w:type="gramEnd"/>
      <w:r w:rsidR="0041156E">
        <w:t xml:space="preserve"> uplink subframes. </w:t>
      </w:r>
    </w:p>
    <w:p w14:paraId="3E92CC46" w14:textId="0EA13BC6" w:rsidR="0041156E" w:rsidRDefault="0041156E" w:rsidP="00EA1901">
      <w:pPr>
        <w:jc w:val="both"/>
      </w:pPr>
      <w:r>
        <w:t xml:space="preserve">Given that LTE has a </w:t>
      </w:r>
      <w:proofErr w:type="gramStart"/>
      <w:r>
        <w:t>longer processing timelines</w:t>
      </w:r>
      <w:proofErr w:type="gramEnd"/>
      <w:r>
        <w:t xml:space="preserve"> and cannot be adapted to NR transmissions, the uplink collisions</w:t>
      </w:r>
      <w:r w:rsidR="0061730B">
        <w:t xml:space="preserve"> including collisions between LTE PUSCH and NR PUSCH/PRACH/SRS </w:t>
      </w:r>
      <w:r>
        <w:t>should</w:t>
      </w:r>
      <w:r w:rsidR="0061730B">
        <w:t xml:space="preserve"> be </w:t>
      </w:r>
      <w:r>
        <w:t xml:space="preserve">considered </w:t>
      </w:r>
      <w:r w:rsidR="005A0585">
        <w:t xml:space="preserve">either </w:t>
      </w:r>
      <w:r>
        <w:t xml:space="preserve">as </w:t>
      </w:r>
      <w:r w:rsidR="0061730B">
        <w:t xml:space="preserve">an </w:t>
      </w:r>
      <w:r>
        <w:t>error case</w:t>
      </w:r>
      <w:r w:rsidR="005A0585">
        <w:t xml:space="preserve"> or NR </w:t>
      </w:r>
      <w:r w:rsidR="005A0585">
        <w:t>transmission should be dropped</w:t>
      </w:r>
      <w:r>
        <w:t>.</w:t>
      </w:r>
      <w:r w:rsidR="0061730B">
        <w:t xml:space="preserve"> Regarding the NR SRS, the transmissions can be planned over the cell-specific SRS subframes of LTE. In such a case, the LTE PUSCH/PUCCH rate-matching around the SRS symbols is naturally done by the UE </w:t>
      </w:r>
      <w:proofErr w:type="gramStart"/>
      <w:r w:rsidR="0061730B">
        <w:t>similar to</w:t>
      </w:r>
      <w:proofErr w:type="gramEnd"/>
      <w:r w:rsidR="0061730B">
        <w:t xml:space="preserve"> the legacy LTE.  </w:t>
      </w:r>
    </w:p>
    <w:p w14:paraId="1E58F2F4" w14:textId="70583CBA" w:rsidR="002055EF" w:rsidRDefault="0041156E" w:rsidP="00EA1901">
      <w:pPr>
        <w:jc w:val="both"/>
        <w:rPr>
          <w:b/>
        </w:rPr>
      </w:pPr>
      <w:r w:rsidRPr="00DE1A9E">
        <w:rPr>
          <w:b/>
        </w:rPr>
        <w:t xml:space="preserve">Proposal 1: </w:t>
      </w:r>
      <w:r w:rsidR="00CA32CA" w:rsidRPr="00DE1A9E">
        <w:rPr>
          <w:b/>
        </w:rPr>
        <w:t xml:space="preserve">For single </w:t>
      </w:r>
      <w:proofErr w:type="spellStart"/>
      <w:r w:rsidR="00CA32CA" w:rsidRPr="00DE1A9E">
        <w:rPr>
          <w:b/>
        </w:rPr>
        <w:t>tx</w:t>
      </w:r>
      <w:proofErr w:type="spellEnd"/>
      <w:r w:rsidR="00CA32CA" w:rsidRPr="00DE1A9E">
        <w:rPr>
          <w:b/>
        </w:rPr>
        <w:t xml:space="preserve"> switched UL in EN-DC with TDD </w:t>
      </w:r>
      <w:proofErr w:type="spellStart"/>
      <w:r w:rsidR="00CA32CA" w:rsidRPr="00DE1A9E">
        <w:rPr>
          <w:b/>
        </w:rPr>
        <w:t>P</w:t>
      </w:r>
      <w:r w:rsidR="00CA32CA">
        <w:rPr>
          <w:b/>
        </w:rPr>
        <w:t>c</w:t>
      </w:r>
      <w:r w:rsidR="00CA32CA" w:rsidRPr="00DE1A9E">
        <w:rPr>
          <w:b/>
        </w:rPr>
        <w:t>ell</w:t>
      </w:r>
      <w:proofErr w:type="spellEnd"/>
      <w:r w:rsidR="00CA32CA">
        <w:rPr>
          <w:b/>
        </w:rPr>
        <w:t>,</w:t>
      </w:r>
      <w:r w:rsidR="00CA32CA" w:rsidRPr="0061730B">
        <w:rPr>
          <w:b/>
        </w:rPr>
        <w:t xml:space="preserve"> </w:t>
      </w:r>
      <w:r w:rsidR="00CA32CA">
        <w:rPr>
          <w:b/>
        </w:rPr>
        <w:t>t</w:t>
      </w:r>
      <w:r w:rsidRPr="00DE1A9E">
        <w:rPr>
          <w:b/>
        </w:rPr>
        <w:t xml:space="preserve">he </w:t>
      </w:r>
      <w:r w:rsidR="00CA32CA">
        <w:rPr>
          <w:b/>
        </w:rPr>
        <w:t xml:space="preserve">type 1 </w:t>
      </w:r>
      <w:r w:rsidRPr="00DE1A9E">
        <w:rPr>
          <w:b/>
        </w:rPr>
        <w:t xml:space="preserve">UE should consider LTE and NR </w:t>
      </w:r>
      <w:r w:rsidR="0061730B" w:rsidRPr="00DE1A9E">
        <w:rPr>
          <w:b/>
        </w:rPr>
        <w:t>uplink</w:t>
      </w:r>
      <w:r w:rsidRPr="00DE1A9E">
        <w:rPr>
          <w:b/>
        </w:rPr>
        <w:t xml:space="preserve"> collisions </w:t>
      </w:r>
      <w:r w:rsidR="005A0585">
        <w:rPr>
          <w:b/>
        </w:rPr>
        <w:t xml:space="preserve">an </w:t>
      </w:r>
      <w:r w:rsidRPr="00DE1A9E">
        <w:rPr>
          <w:b/>
        </w:rPr>
        <w:t xml:space="preserve">error case. </w:t>
      </w:r>
    </w:p>
    <w:p w14:paraId="04031508" w14:textId="4628F951" w:rsidR="002D4B6D" w:rsidRDefault="00A76C61" w:rsidP="002D4B6D">
      <w:pPr>
        <w:jc w:val="both"/>
        <w:rPr>
          <w:rFonts w:eastAsia="MS Mincho"/>
          <w:lang w:eastAsia="ja-JP"/>
        </w:rPr>
      </w:pPr>
      <w:r>
        <w:t>C</w:t>
      </w:r>
      <w:r w:rsidR="002D4B6D">
        <w:t xml:space="preserve">ollision handling discussion so far </w:t>
      </w:r>
      <w:r>
        <w:t xml:space="preserve">has </w:t>
      </w:r>
      <w:r w:rsidR="00533E36">
        <w:t>focused on</w:t>
      </w:r>
      <w:r w:rsidR="002D4B6D">
        <w:t xml:space="preserve"> dynamically scheduled LTE PUSCH transmissions; however, there are other LTE UL transmissions.</w:t>
      </w:r>
      <w:r w:rsidR="002D4B6D" w:rsidRPr="002D4B6D">
        <w:rPr>
          <w:rFonts w:eastAsia="MS Mincho"/>
          <w:lang w:eastAsia="ja-JP"/>
        </w:rPr>
        <w:t xml:space="preserve"> </w:t>
      </w:r>
      <w:r w:rsidR="002D4B6D">
        <w:rPr>
          <w:rFonts w:eastAsia="MS Mincho"/>
          <w:lang w:eastAsia="ja-JP"/>
        </w:rPr>
        <w:t xml:space="preserve">For type 2 UE (i.e., UE without dynamic power sharing capability), not only LTE PUSCH, but also any LTE UL transmissions, should </w:t>
      </w:r>
      <w:r w:rsidR="00303896">
        <w:rPr>
          <w:rFonts w:eastAsia="MS Mincho"/>
          <w:lang w:eastAsia="ja-JP"/>
        </w:rPr>
        <w:t>take place</w:t>
      </w:r>
      <w:r w:rsidR="002D4B6D">
        <w:rPr>
          <w:rFonts w:eastAsia="MS Mincho"/>
          <w:lang w:eastAsia="ja-JP"/>
        </w:rPr>
        <w:t xml:space="preserve"> only in UL subframes designated as UL in the DL-reference UL-DL configuration</w:t>
      </w:r>
      <w:r w:rsidR="002D4B6D">
        <w:rPr>
          <w:rFonts w:eastAsia="MS Mincho"/>
          <w:lang w:eastAsia="ja-JP"/>
        </w:rPr>
        <w:t xml:space="preserve">. For type 1 UE (i.e., UE with dynamic power sharing capability), it should be possible to dynamically schedule/trigger, not only LTE PUSCH, but also </w:t>
      </w:r>
      <w:r w:rsidR="00303896">
        <w:rPr>
          <w:rFonts w:eastAsia="MS Mincho"/>
          <w:lang w:eastAsia="ja-JP"/>
        </w:rPr>
        <w:t>other</w:t>
      </w:r>
      <w:r w:rsidR="002D4B6D">
        <w:rPr>
          <w:rFonts w:eastAsia="MS Mincho"/>
          <w:lang w:eastAsia="ja-JP"/>
        </w:rPr>
        <w:t xml:space="preserve"> LTE UL transmissions in UL subframes not designated as UL in the DL-reference UL-DL configuration. </w:t>
      </w:r>
      <w:r w:rsidR="00533E36">
        <w:rPr>
          <w:rFonts w:eastAsia="MS Mincho"/>
          <w:lang w:eastAsia="ja-JP"/>
        </w:rPr>
        <w:t xml:space="preserve">Then, </w:t>
      </w:r>
      <w:r w:rsidR="007F6F22">
        <w:rPr>
          <w:rFonts w:eastAsia="MS Mincho"/>
          <w:lang w:eastAsia="ja-JP"/>
        </w:rPr>
        <w:t xml:space="preserve">the remaining piece is </w:t>
      </w:r>
      <w:r w:rsidR="00533E36">
        <w:rPr>
          <w:rFonts w:eastAsia="MS Mincho"/>
          <w:lang w:eastAsia="ja-JP"/>
        </w:rPr>
        <w:t xml:space="preserve">handling of </w:t>
      </w:r>
      <w:r w:rsidR="002D4B6D">
        <w:rPr>
          <w:rFonts w:eastAsia="MS Mincho"/>
          <w:lang w:eastAsia="ja-JP"/>
        </w:rPr>
        <w:t xml:space="preserve">semi-statically configured LTE UL transmissions (e.g., SR/periodic CSI on PUCCH, periodic SRS, </w:t>
      </w:r>
      <w:proofErr w:type="spellStart"/>
      <w:r w:rsidR="002D4B6D">
        <w:rPr>
          <w:rFonts w:eastAsia="MS Mincho"/>
          <w:lang w:eastAsia="ja-JP"/>
        </w:rPr>
        <w:t>etc</w:t>
      </w:r>
      <w:proofErr w:type="spellEnd"/>
      <w:r w:rsidR="002D4B6D">
        <w:rPr>
          <w:rFonts w:eastAsia="MS Mincho"/>
          <w:lang w:eastAsia="ja-JP"/>
        </w:rPr>
        <w:t>)</w:t>
      </w:r>
      <w:r w:rsidR="00533E36">
        <w:rPr>
          <w:rFonts w:eastAsia="MS Mincho"/>
          <w:lang w:eastAsia="ja-JP"/>
        </w:rPr>
        <w:t xml:space="preserve"> in UL subframes not designated as UL in the DL-reference UL-DL configuration</w:t>
      </w:r>
      <w:r w:rsidR="004A093A">
        <w:rPr>
          <w:rFonts w:eastAsia="MS Mincho"/>
          <w:lang w:eastAsia="ja-JP"/>
        </w:rPr>
        <w:t xml:space="preserve"> for type 1 UE</w:t>
      </w:r>
      <w:r w:rsidR="00533E36">
        <w:rPr>
          <w:rFonts w:eastAsia="MS Mincho"/>
          <w:lang w:eastAsia="ja-JP"/>
        </w:rPr>
        <w:t xml:space="preserve">. </w:t>
      </w:r>
      <w:proofErr w:type="gramStart"/>
      <w:r w:rsidR="00533E36">
        <w:rPr>
          <w:rFonts w:eastAsia="MS Mincho"/>
          <w:lang w:eastAsia="ja-JP"/>
        </w:rPr>
        <w:t>Taking into account</w:t>
      </w:r>
      <w:proofErr w:type="gramEnd"/>
      <w:r w:rsidR="00533E36">
        <w:rPr>
          <w:rFonts w:eastAsia="MS Mincho"/>
          <w:lang w:eastAsia="ja-JP"/>
        </w:rPr>
        <w:t xml:space="preserve"> overall collision handling, following two options can be considered</w:t>
      </w:r>
      <w:r w:rsidR="002D4B6D">
        <w:rPr>
          <w:rFonts w:eastAsia="MS Mincho"/>
          <w:lang w:eastAsia="ja-JP"/>
        </w:rPr>
        <w:t>:</w:t>
      </w:r>
    </w:p>
    <w:p w14:paraId="054A9612" w14:textId="004B655F" w:rsidR="002D4B6D" w:rsidRDefault="002D4B6D" w:rsidP="002D4B6D">
      <w:pPr>
        <w:jc w:val="both"/>
        <w:rPr>
          <w:rFonts w:eastAsia="MS Mincho"/>
          <w:lang w:eastAsia="ja-JP"/>
        </w:rPr>
      </w:pPr>
      <w:r>
        <w:rPr>
          <w:rFonts w:eastAsia="MS Mincho" w:hint="eastAsia"/>
          <w:lang w:eastAsia="ja-JP"/>
        </w:rPr>
        <w:t>O</w:t>
      </w:r>
      <w:r>
        <w:rPr>
          <w:rFonts w:eastAsia="MS Mincho"/>
          <w:lang w:eastAsia="ja-JP"/>
        </w:rPr>
        <w:t xml:space="preserve">pt.1: Semi-statically configured LTE UL transmissions are not transmitted in UL subframes not designated as UL in the DL-reference UL-DL configuration. </w:t>
      </w:r>
      <w:r w:rsidR="00303896">
        <w:rPr>
          <w:rFonts w:eastAsia="MS Mincho"/>
          <w:lang w:eastAsia="ja-JP"/>
        </w:rPr>
        <w:t>In these UL subframes, t</w:t>
      </w:r>
      <w:r>
        <w:rPr>
          <w:rFonts w:eastAsia="MS Mincho"/>
          <w:lang w:eastAsia="ja-JP"/>
        </w:rPr>
        <w:t xml:space="preserve">he collision between LTE and NR transmissions </w:t>
      </w:r>
      <w:r w:rsidR="00533E36">
        <w:rPr>
          <w:rFonts w:eastAsia="MS Mincho"/>
          <w:lang w:eastAsia="ja-JP"/>
        </w:rPr>
        <w:t>is treated as an error cas</w:t>
      </w:r>
      <w:r w:rsidR="00303896">
        <w:rPr>
          <w:rFonts w:eastAsia="MS Mincho"/>
          <w:lang w:eastAsia="ja-JP"/>
        </w:rPr>
        <w:t>e</w:t>
      </w:r>
      <w:r w:rsidR="00533E36">
        <w:rPr>
          <w:rFonts w:eastAsia="MS Mincho"/>
          <w:lang w:eastAsia="ja-JP"/>
        </w:rPr>
        <w:t>.</w:t>
      </w:r>
    </w:p>
    <w:p w14:paraId="2C59F9B5" w14:textId="363B9509" w:rsidR="002D4B6D" w:rsidRDefault="002D4B6D" w:rsidP="002D4B6D">
      <w:pPr>
        <w:jc w:val="both"/>
      </w:pPr>
      <w:r>
        <w:rPr>
          <w:rFonts w:eastAsia="MS Mincho" w:hint="eastAsia"/>
          <w:lang w:eastAsia="ja-JP"/>
        </w:rPr>
        <w:lastRenderedPageBreak/>
        <w:t>O</w:t>
      </w:r>
      <w:r>
        <w:rPr>
          <w:rFonts w:eastAsia="MS Mincho"/>
          <w:lang w:eastAsia="ja-JP"/>
        </w:rPr>
        <w:t xml:space="preserve">pt.2: Semi-statically configured LTE UL transmissions are transmitted in UL subframes not designated as UL in the DL-reference UL-DL configuration. </w:t>
      </w:r>
      <w:r w:rsidR="00533E36">
        <w:rPr>
          <w:rFonts w:eastAsia="MS Mincho"/>
          <w:lang w:eastAsia="ja-JP"/>
        </w:rPr>
        <w:t>I</w:t>
      </w:r>
      <w:r>
        <w:rPr>
          <w:rFonts w:eastAsia="MS Mincho"/>
          <w:lang w:eastAsia="ja-JP"/>
        </w:rPr>
        <w:t xml:space="preserve">f </w:t>
      </w:r>
      <w:r w:rsidR="00533E36">
        <w:rPr>
          <w:rFonts w:eastAsia="MS Mincho"/>
          <w:lang w:eastAsia="ja-JP"/>
        </w:rPr>
        <w:t>a</w:t>
      </w:r>
      <w:r w:rsidR="0067321B">
        <w:rPr>
          <w:rFonts w:eastAsia="MS Mincho"/>
          <w:lang w:eastAsia="ja-JP"/>
        </w:rPr>
        <w:t>n</w:t>
      </w:r>
      <w:r w:rsidR="00533E36">
        <w:rPr>
          <w:rFonts w:eastAsia="MS Mincho"/>
          <w:lang w:eastAsia="ja-JP"/>
        </w:rPr>
        <w:t xml:space="preserve"> LTE UL transmission</w:t>
      </w:r>
      <w:r>
        <w:rPr>
          <w:rFonts w:eastAsia="MS Mincho"/>
          <w:lang w:eastAsia="ja-JP"/>
        </w:rPr>
        <w:t xml:space="preserve"> collides with </w:t>
      </w:r>
      <w:r w:rsidR="00533E36">
        <w:rPr>
          <w:rFonts w:eastAsia="MS Mincho"/>
          <w:lang w:eastAsia="ja-JP"/>
        </w:rPr>
        <w:t>a</w:t>
      </w:r>
      <w:r w:rsidR="0067321B">
        <w:rPr>
          <w:rFonts w:eastAsia="MS Mincho"/>
          <w:lang w:eastAsia="ja-JP"/>
        </w:rPr>
        <w:t>n</w:t>
      </w:r>
      <w:r w:rsidR="00533E36">
        <w:rPr>
          <w:rFonts w:eastAsia="MS Mincho"/>
          <w:lang w:eastAsia="ja-JP"/>
        </w:rPr>
        <w:t xml:space="preserve"> </w:t>
      </w:r>
      <w:r>
        <w:rPr>
          <w:rFonts w:eastAsia="MS Mincho"/>
          <w:lang w:eastAsia="ja-JP"/>
        </w:rPr>
        <w:t xml:space="preserve">NR UL transmission, </w:t>
      </w:r>
      <w:r w:rsidR="00533E36">
        <w:rPr>
          <w:rFonts w:eastAsia="MS Mincho"/>
          <w:lang w:eastAsia="ja-JP"/>
        </w:rPr>
        <w:t xml:space="preserve">the </w:t>
      </w:r>
      <w:r>
        <w:rPr>
          <w:rFonts w:eastAsia="MS Mincho"/>
          <w:lang w:eastAsia="ja-JP"/>
        </w:rPr>
        <w:t>NR UL transmission</w:t>
      </w:r>
      <w:r w:rsidR="00533E36">
        <w:rPr>
          <w:rFonts w:eastAsia="MS Mincho"/>
          <w:lang w:eastAsia="ja-JP"/>
        </w:rPr>
        <w:t xml:space="preserve"> is dropped </w:t>
      </w:r>
      <w:r>
        <w:rPr>
          <w:rFonts w:eastAsia="MS Mincho"/>
          <w:lang w:eastAsia="ja-JP"/>
        </w:rPr>
        <w:t xml:space="preserve">in </w:t>
      </w:r>
      <w:r w:rsidR="00533E36">
        <w:rPr>
          <w:rFonts w:eastAsia="MS Mincho"/>
          <w:lang w:eastAsia="ja-JP"/>
        </w:rPr>
        <w:t>the overlapped symbol(s)</w:t>
      </w:r>
      <w:r>
        <w:rPr>
          <w:rFonts w:eastAsia="MS Mincho"/>
          <w:lang w:eastAsia="ja-JP"/>
        </w:rPr>
        <w:t>.</w:t>
      </w:r>
    </w:p>
    <w:p w14:paraId="71967BB6" w14:textId="1F11A6C1" w:rsidR="00533E36" w:rsidRDefault="0067321B" w:rsidP="00EA1901">
      <w:pPr>
        <w:jc w:val="both"/>
        <w:rPr>
          <w:rFonts w:eastAsia="MS Mincho"/>
          <w:lang w:eastAsia="ja-JP"/>
        </w:rPr>
      </w:pPr>
      <w:r>
        <w:rPr>
          <w:rFonts w:eastAsia="MS Mincho"/>
          <w:lang w:eastAsia="ja-JP"/>
        </w:rPr>
        <w:t>O</w:t>
      </w:r>
      <w:r w:rsidR="00533E36">
        <w:rPr>
          <w:rFonts w:eastAsia="MS Mincho"/>
          <w:lang w:eastAsia="ja-JP"/>
        </w:rPr>
        <w:t xml:space="preserve">ption 1 offers more transmission opportunities </w:t>
      </w:r>
      <w:r w:rsidR="004A093A">
        <w:rPr>
          <w:rFonts w:eastAsia="MS Mincho"/>
          <w:lang w:eastAsia="ja-JP"/>
        </w:rPr>
        <w:t>for</w:t>
      </w:r>
      <w:r w:rsidR="00533E36">
        <w:rPr>
          <w:rFonts w:eastAsia="MS Mincho"/>
          <w:lang w:eastAsia="ja-JP"/>
        </w:rPr>
        <w:t xml:space="preserve"> NR</w:t>
      </w:r>
      <w:r w:rsidR="004A093A">
        <w:rPr>
          <w:rFonts w:eastAsia="MS Mincho"/>
          <w:lang w:eastAsia="ja-JP"/>
        </w:rPr>
        <w:t xml:space="preserve">; </w:t>
      </w:r>
      <w:r>
        <w:rPr>
          <w:rFonts w:eastAsia="MS Mincho"/>
          <w:lang w:eastAsia="ja-JP"/>
        </w:rPr>
        <w:t xml:space="preserve">The </w:t>
      </w:r>
      <w:r w:rsidR="004A093A">
        <w:rPr>
          <w:rFonts w:eastAsia="MS Mincho"/>
          <w:lang w:eastAsia="ja-JP"/>
        </w:rPr>
        <w:t>periodic LTE UL transmissions in the other UL subframes are not allowed</w:t>
      </w:r>
      <w:r w:rsidR="00303896">
        <w:rPr>
          <w:rFonts w:eastAsia="MS Mincho"/>
          <w:lang w:eastAsia="ja-JP"/>
        </w:rPr>
        <w:t xml:space="preserve">. </w:t>
      </w:r>
      <w:r w:rsidR="004A093A">
        <w:rPr>
          <w:rFonts w:eastAsia="MS Mincho"/>
          <w:lang w:eastAsia="ja-JP"/>
        </w:rPr>
        <w:t xml:space="preserve">With this, the LTE-NR collision is avoidable by </w:t>
      </w:r>
      <w:proofErr w:type="spellStart"/>
      <w:r w:rsidR="004A093A">
        <w:rPr>
          <w:rFonts w:eastAsia="MS Mincho"/>
          <w:lang w:eastAsia="ja-JP"/>
        </w:rPr>
        <w:t>eNB</w:t>
      </w:r>
      <w:proofErr w:type="spellEnd"/>
      <w:r w:rsidR="004A093A">
        <w:rPr>
          <w:rFonts w:eastAsia="MS Mincho"/>
          <w:lang w:eastAsia="ja-JP"/>
        </w:rPr>
        <w:t xml:space="preserve"> scheduler and hence the collision can be treated as an error case. </w:t>
      </w:r>
      <w:r>
        <w:rPr>
          <w:rFonts w:eastAsia="MS Mincho"/>
          <w:lang w:eastAsia="ja-JP"/>
        </w:rPr>
        <w:t>O</w:t>
      </w:r>
      <w:r w:rsidR="00303896">
        <w:rPr>
          <w:rFonts w:eastAsia="MS Mincho"/>
          <w:lang w:eastAsia="ja-JP"/>
        </w:rPr>
        <w:t>ption 2, on the other hand, enables periodic LTE UL transmissions</w:t>
      </w:r>
      <w:r w:rsidR="004A093A">
        <w:rPr>
          <w:rFonts w:eastAsia="MS Mincho"/>
          <w:lang w:eastAsia="ja-JP"/>
        </w:rPr>
        <w:t xml:space="preserve"> in any UL subframes</w:t>
      </w:r>
      <w:r w:rsidR="00303896">
        <w:rPr>
          <w:rFonts w:eastAsia="MS Mincho"/>
          <w:lang w:eastAsia="ja-JP"/>
        </w:rPr>
        <w:t xml:space="preserve">, </w:t>
      </w:r>
      <w:r w:rsidR="004A093A">
        <w:rPr>
          <w:rFonts w:eastAsia="MS Mincho"/>
          <w:lang w:eastAsia="ja-JP"/>
        </w:rPr>
        <w:t xml:space="preserve">resulting in possible LTE-NR collision; hence, such </w:t>
      </w:r>
      <w:r w:rsidR="00303896">
        <w:rPr>
          <w:rFonts w:eastAsia="MS Mincho"/>
          <w:lang w:eastAsia="ja-JP"/>
        </w:rPr>
        <w:t>collision is not considered as an error case</w:t>
      </w:r>
      <w:r w:rsidR="004A093A">
        <w:rPr>
          <w:rFonts w:eastAsia="MS Mincho"/>
          <w:lang w:eastAsia="ja-JP"/>
        </w:rPr>
        <w:t xml:space="preserve"> and then NR UL transmissions </w:t>
      </w:r>
      <w:r w:rsidR="00857E1F">
        <w:rPr>
          <w:rFonts w:eastAsia="MS Mincho"/>
          <w:lang w:eastAsia="ja-JP"/>
        </w:rPr>
        <w:t xml:space="preserve">can be dropped </w:t>
      </w:r>
      <w:r w:rsidR="004A093A">
        <w:rPr>
          <w:rFonts w:eastAsia="MS Mincho"/>
          <w:lang w:eastAsia="ja-JP"/>
        </w:rPr>
        <w:t>the overlapped symbol(s)</w:t>
      </w:r>
      <w:r w:rsidR="009D6C98">
        <w:rPr>
          <w:rFonts w:eastAsia="MS Mincho"/>
          <w:lang w:eastAsia="ja-JP"/>
        </w:rPr>
        <w:t>. It is not desirable to drop NR UL transmissions periodically due to LTE UL transmissions.</w:t>
      </w:r>
      <w:r w:rsidR="004A093A">
        <w:rPr>
          <w:rFonts w:eastAsia="MS Mincho"/>
          <w:lang w:eastAsia="ja-JP"/>
        </w:rPr>
        <w:t xml:space="preserve"> </w:t>
      </w:r>
      <w:proofErr w:type="spellStart"/>
      <w:r w:rsidR="009D6C98">
        <w:rPr>
          <w:rFonts w:eastAsia="MS Mincho"/>
          <w:lang w:eastAsia="ja-JP"/>
        </w:rPr>
        <w:t>Therfore</w:t>
      </w:r>
      <w:proofErr w:type="spellEnd"/>
      <w:r w:rsidR="009D6C98">
        <w:rPr>
          <w:rFonts w:eastAsia="MS Mincho"/>
          <w:lang w:eastAsia="ja-JP"/>
        </w:rPr>
        <w:t>, we can take Option 1</w:t>
      </w:r>
      <w:r w:rsidR="00303896">
        <w:rPr>
          <w:rFonts w:eastAsia="MS Mincho"/>
          <w:lang w:eastAsia="ja-JP"/>
        </w:rPr>
        <w:t xml:space="preserve">. </w:t>
      </w:r>
    </w:p>
    <w:p w14:paraId="5DEC92BE" w14:textId="03370D4A" w:rsidR="00303896" w:rsidRDefault="00303896" w:rsidP="00303896">
      <w:pPr>
        <w:jc w:val="both"/>
        <w:rPr>
          <w:b/>
        </w:rPr>
      </w:pPr>
      <w:r w:rsidRPr="00DE1A9E">
        <w:rPr>
          <w:b/>
        </w:rPr>
        <w:t xml:space="preserve">Proposal </w:t>
      </w:r>
      <w:r>
        <w:rPr>
          <w:b/>
        </w:rPr>
        <w:t>2</w:t>
      </w:r>
      <w:r w:rsidRPr="00DE1A9E">
        <w:rPr>
          <w:b/>
        </w:rPr>
        <w:t xml:space="preserve">: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sidR="0067321B">
        <w:rPr>
          <w:b/>
        </w:rPr>
        <w:t>:</w:t>
      </w:r>
    </w:p>
    <w:p w14:paraId="1ED7C4FF" w14:textId="565F8B2F" w:rsidR="00303896" w:rsidRDefault="00303896" w:rsidP="00303896">
      <w:pPr>
        <w:pStyle w:val="ListParagraph"/>
        <w:numPr>
          <w:ilvl w:val="0"/>
          <w:numId w:val="13"/>
        </w:numPr>
        <w:jc w:val="both"/>
        <w:rPr>
          <w:rFonts w:ascii="Times" w:hAnsi="Times" w:cs="Times"/>
          <w:b/>
          <w:sz w:val="20"/>
        </w:rPr>
      </w:pPr>
      <w:r>
        <w:rPr>
          <w:rFonts w:ascii="Times" w:hAnsi="Times" w:cs="Times"/>
          <w:b/>
          <w:sz w:val="20"/>
        </w:rPr>
        <w:t>For type 2 UE (i.e., UE without dynamic power sharing capability), not only LTE PUSCH, but also any LTE UL transmissions should take place only in UL subframes designated as UL in the DL-reference UL-DL configuration.</w:t>
      </w:r>
    </w:p>
    <w:p w14:paraId="0794864B" w14:textId="0BAFFBCA" w:rsidR="00303896" w:rsidRDefault="00303896" w:rsidP="00303896">
      <w:pPr>
        <w:pStyle w:val="ListParagraph"/>
        <w:numPr>
          <w:ilvl w:val="0"/>
          <w:numId w:val="13"/>
        </w:numPr>
        <w:jc w:val="both"/>
        <w:rPr>
          <w:rFonts w:ascii="Times" w:hAnsi="Times" w:cs="Times"/>
          <w:b/>
          <w:sz w:val="20"/>
        </w:rPr>
      </w:pPr>
      <w:r>
        <w:rPr>
          <w:rFonts w:ascii="Times" w:hAnsi="Times" w:cs="Times"/>
          <w:b/>
          <w:sz w:val="20"/>
        </w:rPr>
        <w:t xml:space="preserve">For type 1 UE (i.e., UE with dynamic power sharing capability) not only LTE PUSCH but also other LTE UL transmissions scheduled/triggered by DCI </w:t>
      </w:r>
      <w:r w:rsidR="0067321B">
        <w:rPr>
          <w:rFonts w:ascii="Times" w:hAnsi="Times" w:cs="Times"/>
          <w:b/>
          <w:sz w:val="20"/>
        </w:rPr>
        <w:t>can</w:t>
      </w:r>
      <w:r>
        <w:rPr>
          <w:rFonts w:ascii="Times" w:hAnsi="Times" w:cs="Times"/>
          <w:b/>
          <w:sz w:val="20"/>
        </w:rPr>
        <w:t xml:space="preserve"> take place in UL subframes not designated as UL in the DL-reference UL-DL configuration.</w:t>
      </w:r>
    </w:p>
    <w:p w14:paraId="4461AF55" w14:textId="3B315C48" w:rsidR="00303896" w:rsidRPr="00BF2ACE" w:rsidRDefault="00303896" w:rsidP="00303896">
      <w:pPr>
        <w:pStyle w:val="ListParagraph"/>
        <w:numPr>
          <w:ilvl w:val="0"/>
          <w:numId w:val="13"/>
        </w:numPr>
        <w:jc w:val="both"/>
        <w:rPr>
          <w:rFonts w:ascii="Times" w:hAnsi="Times" w:cs="Times"/>
          <w:b/>
          <w:sz w:val="20"/>
        </w:rPr>
      </w:pPr>
      <w:r>
        <w:rPr>
          <w:rFonts w:ascii="Times" w:eastAsia="MS Mincho" w:hAnsi="Times" w:cs="Times" w:hint="eastAsia"/>
          <w:b/>
          <w:sz w:val="20"/>
          <w:lang w:eastAsia="ja-JP"/>
        </w:rPr>
        <w:t>F</w:t>
      </w:r>
      <w:r>
        <w:rPr>
          <w:rFonts w:ascii="Times" w:eastAsia="MS Mincho" w:hAnsi="Times" w:cs="Times"/>
          <w:b/>
          <w:sz w:val="20"/>
          <w:lang w:eastAsia="ja-JP"/>
        </w:rPr>
        <w:t>or type 1 UE (i.e., UE with dynamic power sharing capability):</w:t>
      </w:r>
    </w:p>
    <w:p w14:paraId="102899F8" w14:textId="6FAE0833" w:rsidR="00303896" w:rsidRPr="00303896" w:rsidRDefault="00303896" w:rsidP="00303896">
      <w:pPr>
        <w:pStyle w:val="ListParagraph"/>
        <w:numPr>
          <w:ilvl w:val="1"/>
          <w:numId w:val="13"/>
        </w:numPr>
        <w:jc w:val="both"/>
        <w:rPr>
          <w:rFonts w:ascii="Times" w:hAnsi="Times" w:cs="Times"/>
          <w:b/>
          <w:sz w:val="20"/>
        </w:rPr>
      </w:pPr>
      <w:r w:rsidRPr="00303896">
        <w:rPr>
          <w:rFonts w:ascii="Times" w:hAnsi="Times" w:cs="Times"/>
          <w:b/>
          <w:sz w:val="20"/>
        </w:rPr>
        <w:t xml:space="preserve">Semi-statically configured LTE UL transmissions are not transmitted in UL subframes not designated as UL in the DL-reference UL-DL configuration. </w:t>
      </w:r>
      <w:r>
        <w:rPr>
          <w:rFonts w:ascii="Times" w:hAnsi="Times" w:cs="Times"/>
          <w:b/>
          <w:sz w:val="20"/>
        </w:rPr>
        <w:t>In these UL subframes, t</w:t>
      </w:r>
      <w:r w:rsidRPr="00303896">
        <w:rPr>
          <w:rFonts w:ascii="Times" w:hAnsi="Times" w:cs="Times"/>
          <w:b/>
          <w:sz w:val="20"/>
        </w:rPr>
        <w:t>he collision between LTE and NR transmissions is treated as an error case.</w:t>
      </w:r>
    </w:p>
    <w:p w14:paraId="0B9E4BDF" w14:textId="77777777" w:rsidR="00303896" w:rsidRPr="00BF2ACE" w:rsidRDefault="00303896" w:rsidP="00EA1901">
      <w:pPr>
        <w:jc w:val="both"/>
        <w:rPr>
          <w:rFonts w:eastAsia="MS Mincho"/>
          <w:lang w:eastAsia="ja-JP"/>
        </w:rPr>
      </w:pPr>
    </w:p>
    <w:p w14:paraId="7342FD2B" w14:textId="6874634A" w:rsidR="002055EF" w:rsidRPr="00DE1A9E" w:rsidRDefault="001B08AF" w:rsidP="00EA1901">
      <w:pPr>
        <w:jc w:val="both"/>
      </w:pPr>
      <w:r>
        <w:t xml:space="preserve">In Rel.15, for single </w:t>
      </w:r>
      <w:proofErr w:type="spellStart"/>
      <w:r>
        <w:t>tx</w:t>
      </w:r>
      <w:proofErr w:type="spellEnd"/>
      <w:r>
        <w:t xml:space="preserve"> switched UL in EN-DC with FDD-</w:t>
      </w:r>
      <w:proofErr w:type="spellStart"/>
      <w:r>
        <w:t>Pcell</w:t>
      </w:r>
      <w:proofErr w:type="spellEnd"/>
      <w:r>
        <w:t xml:space="preserve">, </w:t>
      </w:r>
      <w:r w:rsidRPr="004D2ED2">
        <w:t xml:space="preserve">the UE </w:t>
      </w:r>
      <w:r w:rsidRPr="008358E8">
        <w:rPr>
          <w:rFonts w:ascii="Times" w:hAnsi="Times"/>
          <w:szCs w:val="24"/>
        </w:rPr>
        <w:t xml:space="preserve">is </w:t>
      </w:r>
      <w:r>
        <w:rPr>
          <w:rFonts w:ascii="Times" w:hAnsi="Times"/>
          <w:szCs w:val="24"/>
        </w:rPr>
        <w:t xml:space="preserve">not expected to transmit any </w:t>
      </w:r>
      <w:r w:rsidRPr="000D3CFB">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 xml:space="preserve">. </w:t>
      </w:r>
      <w:proofErr w:type="gramStart"/>
      <w:r w:rsidR="002055EF" w:rsidRPr="00DE1A9E">
        <w:t>Similar to</w:t>
      </w:r>
      <w:proofErr w:type="gramEnd"/>
      <w:r w:rsidR="002055EF" w:rsidRPr="00DE1A9E">
        <w:t xml:space="preserve"> the agreement</w:t>
      </w:r>
      <w:r w:rsidR="00CA32CA" w:rsidRPr="00DE1A9E">
        <w:t xml:space="preserve"> made for EN-DC with TDD </w:t>
      </w:r>
      <w:proofErr w:type="spellStart"/>
      <w:r w:rsidR="00CA32CA" w:rsidRPr="00DE1A9E">
        <w:t>Pcell</w:t>
      </w:r>
      <w:proofErr w:type="spellEnd"/>
      <w:r w:rsidR="00CA32CA" w:rsidRPr="00DE1A9E">
        <w:t xml:space="preserve">, for Rel. 16 EN-DC with an FDD </w:t>
      </w:r>
      <w:proofErr w:type="spellStart"/>
      <w:r w:rsidR="00CA32CA" w:rsidRPr="00DE1A9E">
        <w:t>Pcell</w:t>
      </w:r>
      <w:proofErr w:type="spellEnd"/>
      <w:r w:rsidR="00CA32CA" w:rsidRPr="00DE1A9E">
        <w:t xml:space="preserve">, in order not </w:t>
      </w:r>
      <w:r w:rsidR="0067321B">
        <w:t xml:space="preserve">to </w:t>
      </w:r>
      <w:r w:rsidR="00CA32CA" w:rsidRPr="00DE1A9E">
        <w:t xml:space="preserve">impact the LTE uplink coverage, the LTE PUSCH transmission should not be restricted to the </w:t>
      </w:r>
      <w:r>
        <w:t>offset-</w:t>
      </w:r>
      <w:r w:rsidR="00CA32CA" w:rsidRPr="00DE1A9E">
        <w:t>UL subframes.</w:t>
      </w:r>
    </w:p>
    <w:p w14:paraId="5A7FC1FC" w14:textId="6A81F566" w:rsidR="00CA32CA" w:rsidRDefault="00CA32CA" w:rsidP="00EA1901">
      <w:pPr>
        <w:jc w:val="both"/>
        <w:rPr>
          <w:b/>
          <w:lang w:eastAsia="zh-CN"/>
        </w:rPr>
      </w:pPr>
      <w:r>
        <w:rPr>
          <w:b/>
        </w:rPr>
        <w:t xml:space="preserve">Proposal </w:t>
      </w:r>
      <w:r w:rsidR="000E11AA">
        <w:rPr>
          <w:b/>
        </w:rPr>
        <w:t>3</w:t>
      </w:r>
      <w:r>
        <w:rPr>
          <w:b/>
        </w:rPr>
        <w:t xml:space="preserve">: </w:t>
      </w:r>
      <w:r w:rsidR="001B08AF">
        <w:rPr>
          <w:b/>
        </w:rPr>
        <w:t>In Rel.16, f</w:t>
      </w:r>
      <w:r w:rsidRPr="009421C2">
        <w:rPr>
          <w:b/>
        </w:rPr>
        <w:t xml:space="preserve">or single </w:t>
      </w:r>
      <w:proofErr w:type="spellStart"/>
      <w:r w:rsidRPr="009421C2">
        <w:rPr>
          <w:b/>
        </w:rPr>
        <w:t>tx</w:t>
      </w:r>
      <w:proofErr w:type="spellEnd"/>
      <w:r w:rsidRPr="009421C2">
        <w:rPr>
          <w:b/>
        </w:rPr>
        <w:t xml:space="preserve"> switched UL in EN-DC with </w:t>
      </w:r>
      <w:r>
        <w:rPr>
          <w:b/>
        </w:rPr>
        <w:t>F</w:t>
      </w:r>
      <w:r w:rsidRPr="009421C2">
        <w:rPr>
          <w:b/>
        </w:rPr>
        <w:t xml:space="preserve">DD </w:t>
      </w:r>
      <w:proofErr w:type="spellStart"/>
      <w:r w:rsidRPr="009421C2">
        <w:rPr>
          <w:b/>
        </w:rPr>
        <w:t>P</w:t>
      </w:r>
      <w:r>
        <w:rPr>
          <w:b/>
        </w:rPr>
        <w:t>c</w:t>
      </w:r>
      <w:r w:rsidRPr="009421C2">
        <w:rPr>
          <w:b/>
        </w:rPr>
        <w:t>ell</w:t>
      </w:r>
      <w:proofErr w:type="spellEnd"/>
      <w:r>
        <w:rPr>
          <w:b/>
        </w:rPr>
        <w:t xml:space="preserve">, the </w:t>
      </w:r>
      <w:r w:rsidR="001B08AF">
        <w:rPr>
          <w:b/>
        </w:rPr>
        <w:t xml:space="preserve">specification should enable </w:t>
      </w:r>
      <w:r>
        <w:rPr>
          <w:b/>
        </w:rPr>
        <w:t xml:space="preserve">type 1 UE </w:t>
      </w:r>
      <w:r w:rsidR="001B08AF">
        <w:rPr>
          <w:b/>
        </w:rPr>
        <w:t>to transmit</w:t>
      </w:r>
      <w:r w:rsidRPr="00DE1A9E">
        <w:rPr>
          <w:b/>
          <w:lang w:eastAsia="zh-CN"/>
        </w:rPr>
        <w:t xml:space="preserve"> LTE PUSCH in the UL subframes </w:t>
      </w:r>
      <w:r w:rsidR="001B08AF">
        <w:rPr>
          <w:b/>
          <w:lang w:eastAsia="zh-CN"/>
        </w:rPr>
        <w:t xml:space="preserve">other than the offset-UL subframes determined by </w:t>
      </w:r>
      <w:r w:rsidR="001B08AF" w:rsidRPr="00BF2ACE">
        <w:rPr>
          <w:b/>
          <w:i/>
          <w:lang w:eastAsia="zh-CN"/>
        </w:rPr>
        <w:t>subframeAssignment-r15</w:t>
      </w:r>
      <w:r w:rsidR="001B08AF">
        <w:rPr>
          <w:b/>
          <w:lang w:eastAsia="zh-CN"/>
        </w:rPr>
        <w:t xml:space="preserve"> and </w:t>
      </w:r>
      <w:r w:rsidR="001B08AF" w:rsidRPr="00BF2ACE">
        <w:rPr>
          <w:b/>
          <w:i/>
          <w:lang w:eastAsia="zh-CN"/>
        </w:rPr>
        <w:t>harq-Offset-r15</w:t>
      </w:r>
      <w:r>
        <w:rPr>
          <w:b/>
          <w:lang w:eastAsia="zh-CN"/>
        </w:rPr>
        <w:t>.</w:t>
      </w:r>
    </w:p>
    <w:p w14:paraId="7360FA4E" w14:textId="0A7BCADF" w:rsidR="00513C0F" w:rsidRDefault="00713B44" w:rsidP="001A7D12">
      <w:pPr>
        <w:jc w:val="both"/>
      </w:pPr>
      <w:r w:rsidRPr="00DE1A9E">
        <w:t xml:space="preserve">Another issue to consider is whether it is possible to reuse the HARQ offset concept introduced in Rel. 15 for the case of EN-DC with TDD </w:t>
      </w:r>
      <w:proofErr w:type="spellStart"/>
      <w:r w:rsidRPr="00DE1A9E">
        <w:t>Pcel</w:t>
      </w:r>
      <w:r>
        <w:t>l</w:t>
      </w:r>
      <w:proofErr w:type="spellEnd"/>
      <w:r>
        <w:t xml:space="preserve">. This is important in order to make sure that not all LTE HARQ-ACK traffic is concentrated in a subset of uplink subframes. </w:t>
      </w:r>
      <w:r w:rsidR="00352A75">
        <w:t>An example is illustrated in Figure 1 below:</w:t>
      </w:r>
    </w:p>
    <w:p w14:paraId="653054C2" w14:textId="77777777" w:rsidR="00513C0F" w:rsidRDefault="00513C0F" w:rsidP="00DE1A9E">
      <w:pPr>
        <w:keepNext/>
        <w:jc w:val="center"/>
      </w:pPr>
      <w:r>
        <w:object w:dxaOrig="19455" w:dyaOrig="4590" w14:anchorId="022A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14.75pt" o:ole="">
            <v:imagedata r:id="rId12" o:title=""/>
          </v:shape>
          <o:OLEObject Type="Embed" ProgID="Visio.Drawing.15" ShapeID="_x0000_i1025" DrawAspect="Content" ObjectID="_1627497914" r:id="rId13"/>
        </w:object>
      </w:r>
    </w:p>
    <w:p w14:paraId="2818538D" w14:textId="16B02AF1" w:rsidR="001A7D12" w:rsidRDefault="00513C0F" w:rsidP="00BF2ACE">
      <w:pPr>
        <w:pStyle w:val="Caption"/>
        <w:jc w:val="center"/>
      </w:pPr>
      <w:r>
        <w:t xml:space="preserve">Figure </w:t>
      </w:r>
      <w:r w:rsidR="00033A2E">
        <w:rPr>
          <w:b w:val="0"/>
          <w:bCs w:val="0"/>
          <w:noProof/>
        </w:rPr>
        <w:fldChar w:fldCharType="begin"/>
      </w:r>
      <w:r w:rsidR="00033A2E">
        <w:rPr>
          <w:noProof/>
        </w:rPr>
        <w:instrText xml:space="preserve"> SEQ Figure \* ARABIC </w:instrText>
      </w:r>
      <w:r w:rsidR="00033A2E">
        <w:rPr>
          <w:b w:val="0"/>
          <w:bCs w:val="0"/>
          <w:noProof/>
        </w:rPr>
        <w:fldChar w:fldCharType="separate"/>
      </w:r>
      <w:r>
        <w:rPr>
          <w:noProof/>
        </w:rPr>
        <w:t>1</w:t>
      </w:r>
      <w:r w:rsidR="00033A2E">
        <w:rPr>
          <w:b w:val="0"/>
          <w:bCs w:val="0"/>
          <w:noProof/>
        </w:rPr>
        <w:fldChar w:fldCharType="end"/>
      </w:r>
      <w:r>
        <w:t xml:space="preserve">: An example of assigning different HARQ offsets to different users in case of EN-DC with TDD </w:t>
      </w:r>
      <w:proofErr w:type="spellStart"/>
      <w:r>
        <w:t>Pcell</w:t>
      </w:r>
      <w:proofErr w:type="spellEnd"/>
      <w:r>
        <w:t>.</w:t>
      </w:r>
    </w:p>
    <w:p w14:paraId="6BFCEB48" w14:textId="4A227CBE" w:rsidR="00513C0F" w:rsidRDefault="00513C0F" w:rsidP="00EA1901">
      <w:pPr>
        <w:jc w:val="both"/>
      </w:pPr>
      <w:r>
        <w:t>As shown in the figure above, it is possible, at least for a subset of scenarios, to configure different HARQ offsets for different users so that the uplink subframes are not overloaded.</w:t>
      </w:r>
    </w:p>
    <w:p w14:paraId="1C79540A" w14:textId="7F6C0DB4" w:rsidR="00D07EA5" w:rsidRDefault="00513C0F" w:rsidP="00F465D0">
      <w:pPr>
        <w:jc w:val="both"/>
        <w:rPr>
          <w:b/>
        </w:rPr>
      </w:pPr>
      <w:r w:rsidRPr="00DE1A9E">
        <w:rPr>
          <w:b/>
        </w:rPr>
        <w:t xml:space="preserve">Proposal </w:t>
      </w:r>
      <w:r w:rsidR="000E11AA">
        <w:rPr>
          <w:b/>
        </w:rPr>
        <w:t>4</w:t>
      </w:r>
      <w:r w:rsidRPr="00DE1A9E">
        <w:rPr>
          <w:b/>
        </w:rPr>
        <w:t>: The HARQ offset should be configured for the users in case of EN-DC with TDD Pcell.</w:t>
      </w:r>
      <w:r w:rsidR="007A5886">
        <w:rPr>
          <w:b/>
        </w:rPr>
        <w:t xml:space="preserve"> The exact values and their applicability to different TDD DL/UL configurations should further be discussed. </w:t>
      </w:r>
    </w:p>
    <w:p w14:paraId="4AB669EC" w14:textId="22EC9D43" w:rsidR="00076547" w:rsidRPr="00DE44D6" w:rsidRDefault="00076547" w:rsidP="00076547">
      <w:pPr>
        <w:pStyle w:val="Heading1"/>
        <w:jc w:val="both"/>
        <w:rPr>
          <w:rFonts w:ascii="Times New Roman" w:hAnsi="Times New Roman"/>
        </w:rPr>
      </w:pPr>
      <w:r>
        <w:rPr>
          <w:rFonts w:ascii="Times New Roman" w:hAnsi="Times New Roman"/>
        </w:rPr>
        <w:lastRenderedPageBreak/>
        <w:t>Single-Tx TDM Operation for EN-DC with LTE-CA</w:t>
      </w:r>
    </w:p>
    <w:p w14:paraId="5022CAB4" w14:textId="3CFE1532" w:rsidR="00892314" w:rsidRDefault="00424AE0" w:rsidP="00EF4476">
      <w:pPr>
        <w:jc w:val="both"/>
      </w:pPr>
      <w:r>
        <w:t>In LTE-TDD CA, the downlink HARQ timing</w:t>
      </w:r>
      <w:r w:rsidR="00F3607C">
        <w:t xml:space="preserve"> reference of the secondary cell is given as a function of its SI</w:t>
      </w:r>
      <w:r w:rsidR="004030E5">
        <w:t>B1 DL/UL configuration and SIB</w:t>
      </w:r>
      <w:r w:rsidR="00F3607C">
        <w:t xml:space="preserve">1 DL/UL configuration of the Pcell. For the case of EN-DC with either the FDD-Pcell or TDD-Pcell, the downlink HARQ timing reference of a TDD </w:t>
      </w:r>
      <w:r w:rsidR="004030E5">
        <w:t xml:space="preserve">secondary cell can be determined as a function of its own SIB1 DL/UL configuration and the RRC DL/UL configuration of the Pcell. Following the Rel. 11 LTE specification, the </w:t>
      </w:r>
      <w:r w:rsidR="00781CB8">
        <w:t xml:space="preserve">DL HARQ timing reference of a TDD serving cell can be given by </w:t>
      </w:r>
      <w:r w:rsidR="00CA32CA">
        <w:t>the table below</w:t>
      </w:r>
      <w:r w:rsidR="00781CB8">
        <w:t>:</w:t>
      </w:r>
    </w:p>
    <w:p w14:paraId="7A800331" w14:textId="3D4C629D" w:rsidR="001A7D12" w:rsidRDefault="001A7D12" w:rsidP="00EF4476">
      <w:pPr>
        <w:jc w:val="both"/>
      </w:pPr>
    </w:p>
    <w:p w14:paraId="366FED17" w14:textId="77777777" w:rsidR="001A7D12" w:rsidRDefault="001A7D12" w:rsidP="00EF4476">
      <w:pPr>
        <w:jc w:val="bo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7"/>
        <w:gridCol w:w="1044"/>
        <w:gridCol w:w="853"/>
        <w:gridCol w:w="822"/>
        <w:gridCol w:w="851"/>
        <w:gridCol w:w="850"/>
        <w:gridCol w:w="881"/>
        <w:gridCol w:w="851"/>
        <w:gridCol w:w="851"/>
      </w:tblGrid>
      <w:tr w:rsidR="00781CB8" w:rsidRPr="00DD093D" w14:paraId="60F139C9" w14:textId="77777777" w:rsidTr="00EC7EDE">
        <w:trPr>
          <w:trHeight w:val="300"/>
          <w:jc w:val="center"/>
        </w:trPr>
        <w:tc>
          <w:tcPr>
            <w:tcW w:w="2611" w:type="dxa"/>
            <w:gridSpan w:val="2"/>
            <w:vMerge w:val="restart"/>
            <w:tcBorders>
              <w:top w:val="single" w:sz="4" w:space="0" w:color="auto"/>
            </w:tcBorders>
            <w:shd w:val="clear" w:color="auto" w:fill="auto"/>
            <w:noWrap/>
            <w:vAlign w:val="center"/>
          </w:tcPr>
          <w:p w14:paraId="2AC80F19" w14:textId="77777777" w:rsidR="00781CB8" w:rsidRPr="00DD093D" w:rsidRDefault="00781CB8" w:rsidP="00EC7EDE">
            <w:pPr>
              <w:spacing w:line="276" w:lineRule="auto"/>
              <w:rPr>
                <w:color w:val="000000"/>
                <w:lang w:eastAsia="zh-CN"/>
              </w:rPr>
            </w:pPr>
            <w:r w:rsidRPr="00DD093D">
              <w:rPr>
                <w:color w:val="000000"/>
                <w:lang w:eastAsia="zh-CN"/>
              </w:rPr>
              <w:t xml:space="preserve">PDSCH HARQ timing on SCell follows </w:t>
            </w:r>
            <w:r>
              <w:rPr>
                <w:rFonts w:hint="eastAsia"/>
                <w:color w:val="000000"/>
                <w:lang w:eastAsia="zh-CN"/>
              </w:rPr>
              <w:t xml:space="preserve">TDD </w:t>
            </w:r>
            <w:r w:rsidRPr="00DD093D">
              <w:rPr>
                <w:color w:val="000000"/>
                <w:lang w:eastAsia="zh-CN"/>
              </w:rPr>
              <w:t>UL-DL configuration #</w:t>
            </w:r>
            <w:r w:rsidRPr="00613391">
              <w:rPr>
                <w:color w:val="0000FF"/>
              </w:rPr>
              <w:t xml:space="preserve"> </w:t>
            </w:r>
          </w:p>
        </w:tc>
        <w:tc>
          <w:tcPr>
            <w:tcW w:w="5959" w:type="dxa"/>
            <w:gridSpan w:val="7"/>
            <w:shd w:val="clear" w:color="auto" w:fill="auto"/>
            <w:noWrap/>
            <w:vAlign w:val="center"/>
          </w:tcPr>
          <w:p w14:paraId="57F80554" w14:textId="77777777" w:rsidR="00781CB8" w:rsidRPr="00DD093D" w:rsidRDefault="00781CB8" w:rsidP="00EC7EDE">
            <w:pPr>
              <w:spacing w:line="276" w:lineRule="auto"/>
              <w:jc w:val="center"/>
              <w:rPr>
                <w:color w:val="000000"/>
                <w:lang w:eastAsia="zh-CN"/>
              </w:rPr>
            </w:pPr>
            <w:r>
              <w:rPr>
                <w:rFonts w:hint="eastAsia"/>
                <w:color w:val="000000"/>
                <w:lang w:eastAsia="zh-CN"/>
              </w:rPr>
              <w:t>P</w:t>
            </w:r>
            <w:r w:rsidRPr="00B93526">
              <w:rPr>
                <w:color w:val="000000"/>
                <w:lang w:eastAsia="zh-CN"/>
              </w:rPr>
              <w:t xml:space="preserve">cell </w:t>
            </w:r>
            <w:r w:rsidRPr="003B01CC">
              <w:rPr>
                <w:color w:val="000000"/>
                <w:lang w:eastAsia="zh-CN"/>
              </w:rPr>
              <w:t>RRC</w:t>
            </w:r>
            <w:r w:rsidRPr="00B93526">
              <w:rPr>
                <w:color w:val="000000"/>
                <w:lang w:eastAsia="zh-CN"/>
              </w:rPr>
              <w:t xml:space="preserve"> UL-DL Configuration</w:t>
            </w:r>
          </w:p>
        </w:tc>
      </w:tr>
      <w:tr w:rsidR="00781CB8" w:rsidRPr="00DD093D" w14:paraId="332A9A18" w14:textId="77777777" w:rsidTr="00EC7EDE">
        <w:trPr>
          <w:trHeight w:val="300"/>
          <w:jc w:val="center"/>
        </w:trPr>
        <w:tc>
          <w:tcPr>
            <w:tcW w:w="2611" w:type="dxa"/>
            <w:gridSpan w:val="2"/>
            <w:vMerge/>
            <w:shd w:val="clear" w:color="auto" w:fill="auto"/>
            <w:noWrap/>
            <w:vAlign w:val="bottom"/>
          </w:tcPr>
          <w:p w14:paraId="2142BECB" w14:textId="77777777" w:rsidR="00781CB8" w:rsidRPr="00DD093D" w:rsidRDefault="00781CB8" w:rsidP="00EC7EDE">
            <w:pPr>
              <w:spacing w:line="276" w:lineRule="auto"/>
              <w:rPr>
                <w:rFonts w:eastAsia="Times New Roman"/>
                <w:color w:val="000000"/>
                <w:lang w:eastAsia="ja-JP"/>
              </w:rPr>
            </w:pPr>
          </w:p>
        </w:tc>
        <w:tc>
          <w:tcPr>
            <w:tcW w:w="853" w:type="dxa"/>
            <w:shd w:val="clear" w:color="auto" w:fill="E2EFD9" w:themeFill="accent6" w:themeFillTint="33"/>
            <w:noWrap/>
            <w:vAlign w:val="bottom"/>
          </w:tcPr>
          <w:p w14:paraId="189E455E"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22" w:type="dxa"/>
            <w:shd w:val="clear" w:color="auto" w:fill="E2EFD9" w:themeFill="accent6" w:themeFillTint="33"/>
            <w:noWrap/>
            <w:vAlign w:val="bottom"/>
          </w:tcPr>
          <w:p w14:paraId="0AD7F5E7"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1" w:type="dxa"/>
            <w:shd w:val="clear" w:color="auto" w:fill="E2EFD9" w:themeFill="accent6" w:themeFillTint="33"/>
            <w:noWrap/>
            <w:vAlign w:val="bottom"/>
          </w:tcPr>
          <w:p w14:paraId="1A014EB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0" w:type="dxa"/>
            <w:shd w:val="clear" w:color="auto" w:fill="E2EFD9" w:themeFill="accent6" w:themeFillTint="33"/>
            <w:noWrap/>
            <w:vAlign w:val="bottom"/>
          </w:tcPr>
          <w:p w14:paraId="3F35E4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81" w:type="dxa"/>
            <w:shd w:val="clear" w:color="auto" w:fill="E2EFD9" w:themeFill="accent6" w:themeFillTint="33"/>
            <w:noWrap/>
            <w:vAlign w:val="bottom"/>
          </w:tcPr>
          <w:p w14:paraId="11938A89"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1" w:type="dxa"/>
            <w:shd w:val="clear" w:color="auto" w:fill="E2EFD9" w:themeFill="accent6" w:themeFillTint="33"/>
            <w:noWrap/>
            <w:vAlign w:val="bottom"/>
          </w:tcPr>
          <w:p w14:paraId="643665A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1" w:type="dxa"/>
            <w:shd w:val="clear" w:color="auto" w:fill="E2EFD9" w:themeFill="accent6" w:themeFillTint="33"/>
            <w:noWrap/>
            <w:vAlign w:val="bottom"/>
          </w:tcPr>
          <w:p w14:paraId="15E5FD14"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r>
      <w:tr w:rsidR="00781CB8" w:rsidRPr="00DD093D" w14:paraId="3758DFA2" w14:textId="77777777" w:rsidTr="00EC7EDE">
        <w:trPr>
          <w:trHeight w:val="300"/>
          <w:jc w:val="center"/>
        </w:trPr>
        <w:tc>
          <w:tcPr>
            <w:tcW w:w="1567" w:type="dxa"/>
            <w:vMerge w:val="restart"/>
            <w:shd w:val="clear" w:color="auto" w:fill="auto"/>
            <w:noWrap/>
            <w:vAlign w:val="center"/>
          </w:tcPr>
          <w:p w14:paraId="04665C8B" w14:textId="77777777" w:rsidR="00781CB8" w:rsidRPr="00DD093D" w:rsidRDefault="00781CB8" w:rsidP="00EC7EDE">
            <w:pPr>
              <w:rPr>
                <w:rFonts w:eastAsia="Times New Roman"/>
                <w:color w:val="000000"/>
                <w:lang w:eastAsia="ja-JP"/>
              </w:rPr>
            </w:pPr>
            <w:r>
              <w:rPr>
                <w:rFonts w:hint="eastAsia"/>
                <w:color w:val="000000"/>
                <w:lang w:eastAsia="zh-CN"/>
              </w:rPr>
              <w:t>Sc</w:t>
            </w:r>
            <w:r w:rsidRPr="00B93526">
              <w:rPr>
                <w:color w:val="000000"/>
                <w:lang w:eastAsia="zh-CN"/>
              </w:rPr>
              <w:t>ell SIB-1 UL-DL Configuration</w:t>
            </w:r>
          </w:p>
        </w:tc>
        <w:tc>
          <w:tcPr>
            <w:tcW w:w="1044" w:type="dxa"/>
            <w:shd w:val="clear" w:color="auto" w:fill="EDEDED" w:themeFill="accent3" w:themeFillTint="33"/>
            <w:vAlign w:val="bottom"/>
          </w:tcPr>
          <w:p w14:paraId="65F90175"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53" w:type="dxa"/>
            <w:tcBorders>
              <w:tl2br w:val="single" w:sz="4" w:space="0" w:color="000000"/>
            </w:tcBorders>
            <w:shd w:val="clear" w:color="auto" w:fill="FFFFFF" w:themeFill="background1"/>
            <w:noWrap/>
            <w:vAlign w:val="bottom"/>
          </w:tcPr>
          <w:p w14:paraId="1CB9D1DA" w14:textId="77777777" w:rsidR="00781CB8" w:rsidRPr="00DD093D" w:rsidRDefault="00781CB8" w:rsidP="00EC7EDE">
            <w:pPr>
              <w:jc w:val="center"/>
              <w:rPr>
                <w:color w:val="000000"/>
                <w:lang w:eastAsia="zh-CN"/>
              </w:rPr>
            </w:pPr>
          </w:p>
        </w:tc>
        <w:tc>
          <w:tcPr>
            <w:tcW w:w="822" w:type="dxa"/>
            <w:shd w:val="clear" w:color="auto" w:fill="DEEAF6" w:themeFill="accent1" w:themeFillTint="33"/>
            <w:noWrap/>
            <w:vAlign w:val="bottom"/>
          </w:tcPr>
          <w:p w14:paraId="1FB464B3"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6687EBF6" w14:textId="77777777" w:rsidR="00781CB8" w:rsidRPr="00DD093D" w:rsidRDefault="00781CB8" w:rsidP="00EC7EDE">
            <w:pPr>
              <w:jc w:val="center"/>
              <w:rPr>
                <w:color w:val="000000"/>
                <w:lang w:eastAsia="zh-CN"/>
              </w:rPr>
            </w:pPr>
            <w:r>
              <w:rPr>
                <w:color w:val="000000"/>
                <w:lang w:eastAsia="zh-CN"/>
              </w:rPr>
              <w:t>2</w:t>
            </w:r>
          </w:p>
        </w:tc>
        <w:tc>
          <w:tcPr>
            <w:tcW w:w="850" w:type="dxa"/>
            <w:shd w:val="clear" w:color="auto" w:fill="DEEAF6" w:themeFill="accent1" w:themeFillTint="33"/>
            <w:noWrap/>
            <w:vAlign w:val="bottom"/>
          </w:tcPr>
          <w:p w14:paraId="07741A68"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0C25B9B0"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E51475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vAlign w:val="bottom"/>
          </w:tcPr>
          <w:p w14:paraId="2F2B9DF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6</w:t>
            </w:r>
          </w:p>
        </w:tc>
      </w:tr>
      <w:tr w:rsidR="00781CB8" w14:paraId="29046B3D" w14:textId="77777777" w:rsidTr="00EC7EDE">
        <w:trPr>
          <w:trHeight w:val="300"/>
          <w:jc w:val="center"/>
        </w:trPr>
        <w:tc>
          <w:tcPr>
            <w:tcW w:w="1567" w:type="dxa"/>
            <w:vMerge/>
            <w:shd w:val="clear" w:color="auto" w:fill="auto"/>
            <w:noWrap/>
            <w:vAlign w:val="bottom"/>
          </w:tcPr>
          <w:p w14:paraId="678812D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474C12"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3" w:type="dxa"/>
            <w:shd w:val="clear" w:color="auto" w:fill="DEEAF6" w:themeFill="accent1" w:themeFillTint="33"/>
            <w:noWrap/>
            <w:vAlign w:val="bottom"/>
          </w:tcPr>
          <w:p w14:paraId="4C3E2E72" w14:textId="77777777" w:rsidR="00781CB8" w:rsidRPr="00DD093D" w:rsidRDefault="00781CB8" w:rsidP="00EC7EDE">
            <w:pPr>
              <w:jc w:val="center"/>
              <w:rPr>
                <w:color w:val="000000"/>
                <w:lang w:eastAsia="zh-CN"/>
              </w:rPr>
            </w:pPr>
            <w:r>
              <w:rPr>
                <w:color w:val="000000"/>
                <w:lang w:eastAsia="zh-CN"/>
              </w:rPr>
              <w:t>1</w:t>
            </w:r>
          </w:p>
        </w:tc>
        <w:tc>
          <w:tcPr>
            <w:tcW w:w="822" w:type="dxa"/>
            <w:tcBorders>
              <w:tl2br w:val="single" w:sz="4" w:space="0" w:color="000000"/>
            </w:tcBorders>
            <w:shd w:val="clear" w:color="auto" w:fill="FFFFFF" w:themeFill="background1"/>
            <w:noWrap/>
            <w:vAlign w:val="bottom"/>
          </w:tcPr>
          <w:p w14:paraId="0888B870"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00185F2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42082DEB" w14:textId="77777777" w:rsidR="00781CB8" w:rsidRPr="00DD093D" w:rsidRDefault="00781CB8" w:rsidP="00EC7EDE">
            <w:pPr>
              <w:jc w:val="center"/>
              <w:rPr>
                <w:color w:val="000000"/>
                <w:lang w:eastAsia="zh-CN"/>
              </w:rPr>
            </w:pPr>
            <w:r>
              <w:rPr>
                <w:color w:val="000000"/>
                <w:lang w:eastAsia="zh-CN"/>
              </w:rPr>
              <w:t>4</w:t>
            </w:r>
          </w:p>
        </w:tc>
        <w:tc>
          <w:tcPr>
            <w:tcW w:w="881" w:type="dxa"/>
            <w:shd w:val="clear" w:color="auto" w:fill="DEEAF6" w:themeFill="accent1" w:themeFillTint="33"/>
            <w:noWrap/>
            <w:vAlign w:val="bottom"/>
          </w:tcPr>
          <w:p w14:paraId="4ED671C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3D7CBD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8B4BEB1" w14:textId="77777777" w:rsidR="00781CB8" w:rsidRDefault="00781CB8" w:rsidP="00EC7EDE">
            <w:pPr>
              <w:jc w:val="center"/>
            </w:pPr>
            <w:r>
              <w:t>1</w:t>
            </w:r>
          </w:p>
        </w:tc>
      </w:tr>
      <w:tr w:rsidR="00781CB8" w14:paraId="27690006" w14:textId="77777777" w:rsidTr="00EC7EDE">
        <w:trPr>
          <w:trHeight w:val="300"/>
          <w:jc w:val="center"/>
        </w:trPr>
        <w:tc>
          <w:tcPr>
            <w:tcW w:w="1567" w:type="dxa"/>
            <w:vMerge/>
            <w:shd w:val="clear" w:color="auto" w:fill="auto"/>
            <w:noWrap/>
            <w:vAlign w:val="bottom"/>
          </w:tcPr>
          <w:p w14:paraId="2992BBF5"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D4173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3" w:type="dxa"/>
            <w:shd w:val="clear" w:color="auto" w:fill="DEEAF6" w:themeFill="accent1" w:themeFillTint="33"/>
            <w:noWrap/>
          </w:tcPr>
          <w:p w14:paraId="5300A817" w14:textId="77777777" w:rsidR="00781CB8" w:rsidRDefault="00781CB8" w:rsidP="00EC7EDE">
            <w:pPr>
              <w:jc w:val="center"/>
            </w:pPr>
            <w:r>
              <w:t>2</w:t>
            </w:r>
          </w:p>
        </w:tc>
        <w:tc>
          <w:tcPr>
            <w:tcW w:w="822" w:type="dxa"/>
            <w:shd w:val="clear" w:color="auto" w:fill="DEEAF6" w:themeFill="accent1" w:themeFillTint="33"/>
            <w:noWrap/>
            <w:vAlign w:val="bottom"/>
          </w:tcPr>
          <w:p w14:paraId="5B3D632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1" w:type="dxa"/>
            <w:tcBorders>
              <w:tl2br w:val="single" w:sz="4" w:space="0" w:color="000000"/>
            </w:tcBorders>
            <w:shd w:val="clear" w:color="auto" w:fill="FFFFFF" w:themeFill="background1"/>
            <w:noWrap/>
            <w:vAlign w:val="bottom"/>
          </w:tcPr>
          <w:p w14:paraId="5D12B9F8" w14:textId="77777777" w:rsidR="00781CB8" w:rsidRPr="00DD093D" w:rsidRDefault="00781CB8" w:rsidP="00EC7EDE">
            <w:pPr>
              <w:jc w:val="center"/>
              <w:rPr>
                <w:rFonts w:eastAsia="Times New Roman"/>
                <w:color w:val="000000"/>
                <w:lang w:eastAsia="ja-JP"/>
              </w:rPr>
            </w:pPr>
          </w:p>
        </w:tc>
        <w:tc>
          <w:tcPr>
            <w:tcW w:w="850" w:type="dxa"/>
            <w:shd w:val="clear" w:color="auto" w:fill="DEEAF6" w:themeFill="accent1" w:themeFillTint="33"/>
            <w:noWrap/>
            <w:vAlign w:val="bottom"/>
          </w:tcPr>
          <w:p w14:paraId="32754C44" w14:textId="77777777" w:rsidR="00781CB8" w:rsidRPr="00DD093D" w:rsidRDefault="00781CB8" w:rsidP="00EC7EDE">
            <w:pPr>
              <w:jc w:val="center"/>
              <w:rPr>
                <w:color w:val="000000"/>
                <w:lang w:eastAsia="zh-CN"/>
              </w:rPr>
            </w:pPr>
            <w:r>
              <w:rPr>
                <w:rFonts w:hint="eastAsia"/>
                <w:color w:val="000000"/>
                <w:lang w:eastAsia="zh-CN"/>
              </w:rPr>
              <w:t>5</w:t>
            </w:r>
          </w:p>
        </w:tc>
        <w:tc>
          <w:tcPr>
            <w:tcW w:w="881" w:type="dxa"/>
            <w:shd w:val="clear" w:color="auto" w:fill="DEEAF6" w:themeFill="accent1" w:themeFillTint="33"/>
            <w:noWrap/>
            <w:vAlign w:val="bottom"/>
          </w:tcPr>
          <w:p w14:paraId="58FB9921" w14:textId="77777777" w:rsidR="00781CB8" w:rsidRPr="00DD093D" w:rsidRDefault="00781CB8" w:rsidP="00EC7EDE">
            <w:pPr>
              <w:jc w:val="center"/>
              <w:rPr>
                <w:color w:val="000000"/>
                <w:lang w:eastAsia="zh-CN"/>
              </w:rPr>
            </w:pPr>
            <w:r>
              <w:rPr>
                <w:color w:val="000000"/>
                <w:lang w:eastAsia="zh-CN"/>
              </w:rPr>
              <w:t>5</w:t>
            </w:r>
          </w:p>
        </w:tc>
        <w:tc>
          <w:tcPr>
            <w:tcW w:w="851" w:type="dxa"/>
            <w:shd w:val="clear" w:color="auto" w:fill="DEEAF6" w:themeFill="accent1" w:themeFillTint="33"/>
            <w:noWrap/>
            <w:vAlign w:val="bottom"/>
          </w:tcPr>
          <w:p w14:paraId="472E6B51"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AD7E495" w14:textId="77777777" w:rsidR="00781CB8" w:rsidRDefault="00781CB8" w:rsidP="00EC7EDE">
            <w:pPr>
              <w:jc w:val="center"/>
            </w:pPr>
            <w:r>
              <w:t>2</w:t>
            </w:r>
          </w:p>
        </w:tc>
      </w:tr>
      <w:tr w:rsidR="00781CB8" w14:paraId="4C178738" w14:textId="77777777" w:rsidTr="00EC7EDE">
        <w:trPr>
          <w:trHeight w:val="300"/>
          <w:jc w:val="center"/>
        </w:trPr>
        <w:tc>
          <w:tcPr>
            <w:tcW w:w="1567" w:type="dxa"/>
            <w:vMerge/>
            <w:shd w:val="clear" w:color="auto" w:fill="auto"/>
            <w:noWrap/>
            <w:vAlign w:val="bottom"/>
          </w:tcPr>
          <w:p w14:paraId="02329C22"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9C6F6F"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53" w:type="dxa"/>
            <w:shd w:val="clear" w:color="auto" w:fill="DEEAF6" w:themeFill="accent1" w:themeFillTint="33"/>
            <w:noWrap/>
          </w:tcPr>
          <w:p w14:paraId="0E6BE02D" w14:textId="77777777" w:rsidR="00781CB8" w:rsidRDefault="00781CB8" w:rsidP="00EC7EDE">
            <w:pPr>
              <w:jc w:val="center"/>
            </w:pPr>
            <w:r>
              <w:t>3</w:t>
            </w:r>
          </w:p>
        </w:tc>
        <w:tc>
          <w:tcPr>
            <w:tcW w:w="822" w:type="dxa"/>
            <w:shd w:val="clear" w:color="auto" w:fill="DEEAF6" w:themeFill="accent1" w:themeFillTint="33"/>
            <w:noWrap/>
            <w:vAlign w:val="bottom"/>
          </w:tcPr>
          <w:p w14:paraId="5B83E993" w14:textId="77777777" w:rsidR="00781CB8" w:rsidRPr="00DD093D" w:rsidRDefault="00781CB8" w:rsidP="00EC7EDE">
            <w:pPr>
              <w:jc w:val="center"/>
              <w:rPr>
                <w:color w:val="000000"/>
                <w:lang w:eastAsia="zh-CN"/>
              </w:rPr>
            </w:pPr>
            <w:r>
              <w:rPr>
                <w:rFonts w:hint="eastAsia"/>
                <w:color w:val="000000"/>
                <w:lang w:eastAsia="zh-CN"/>
              </w:rPr>
              <w:t>4</w:t>
            </w:r>
          </w:p>
        </w:tc>
        <w:tc>
          <w:tcPr>
            <w:tcW w:w="851" w:type="dxa"/>
            <w:shd w:val="clear" w:color="auto" w:fill="DEEAF6" w:themeFill="accent1" w:themeFillTint="33"/>
            <w:noWrap/>
            <w:vAlign w:val="bottom"/>
          </w:tcPr>
          <w:p w14:paraId="6EA49453"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tcBorders>
              <w:tl2br w:val="single" w:sz="4" w:space="0" w:color="000000"/>
            </w:tcBorders>
            <w:shd w:val="clear" w:color="auto" w:fill="FFFFFF" w:themeFill="background1"/>
            <w:noWrap/>
            <w:vAlign w:val="bottom"/>
          </w:tcPr>
          <w:p w14:paraId="3ADB31E2" w14:textId="77777777" w:rsidR="00781CB8" w:rsidRPr="00DD093D" w:rsidRDefault="00781CB8" w:rsidP="00EC7EDE">
            <w:pPr>
              <w:jc w:val="center"/>
              <w:rPr>
                <w:rFonts w:eastAsia="Times New Roman"/>
                <w:color w:val="000000"/>
                <w:lang w:eastAsia="ja-JP"/>
              </w:rPr>
            </w:pPr>
          </w:p>
        </w:tc>
        <w:tc>
          <w:tcPr>
            <w:tcW w:w="881" w:type="dxa"/>
            <w:shd w:val="clear" w:color="auto" w:fill="DEEAF6" w:themeFill="accent1" w:themeFillTint="33"/>
            <w:noWrap/>
            <w:vAlign w:val="bottom"/>
          </w:tcPr>
          <w:p w14:paraId="06157D2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016EF0AD"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1813D678" w14:textId="77777777" w:rsidR="00781CB8" w:rsidRDefault="00781CB8" w:rsidP="00EC7EDE">
            <w:pPr>
              <w:jc w:val="center"/>
            </w:pPr>
            <w:r>
              <w:t>3</w:t>
            </w:r>
          </w:p>
        </w:tc>
      </w:tr>
      <w:tr w:rsidR="00781CB8" w14:paraId="64F3136B" w14:textId="77777777" w:rsidTr="00EC7EDE">
        <w:trPr>
          <w:trHeight w:val="300"/>
          <w:jc w:val="center"/>
        </w:trPr>
        <w:tc>
          <w:tcPr>
            <w:tcW w:w="1567" w:type="dxa"/>
            <w:vMerge/>
            <w:shd w:val="clear" w:color="auto" w:fill="auto"/>
            <w:noWrap/>
            <w:vAlign w:val="bottom"/>
          </w:tcPr>
          <w:p w14:paraId="3DAB5B9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1E51208"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3" w:type="dxa"/>
            <w:shd w:val="clear" w:color="auto" w:fill="DEEAF6" w:themeFill="accent1" w:themeFillTint="33"/>
            <w:noWrap/>
          </w:tcPr>
          <w:p w14:paraId="7BF1B1DE" w14:textId="77777777" w:rsidR="00781CB8" w:rsidRDefault="00781CB8" w:rsidP="00EC7EDE">
            <w:pPr>
              <w:jc w:val="center"/>
            </w:pPr>
            <w:r>
              <w:t>4</w:t>
            </w:r>
          </w:p>
        </w:tc>
        <w:tc>
          <w:tcPr>
            <w:tcW w:w="822" w:type="dxa"/>
            <w:shd w:val="clear" w:color="auto" w:fill="DEEAF6" w:themeFill="accent1" w:themeFillTint="33"/>
            <w:noWrap/>
            <w:vAlign w:val="bottom"/>
          </w:tcPr>
          <w:p w14:paraId="02418052"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25E48835"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shd w:val="clear" w:color="auto" w:fill="DEEAF6" w:themeFill="accent1" w:themeFillTint="33"/>
            <w:noWrap/>
            <w:vAlign w:val="bottom"/>
          </w:tcPr>
          <w:p w14:paraId="4B4A187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81" w:type="dxa"/>
            <w:tcBorders>
              <w:tl2br w:val="single" w:sz="4" w:space="0" w:color="000000"/>
            </w:tcBorders>
            <w:shd w:val="clear" w:color="auto" w:fill="FFFFFF" w:themeFill="background1"/>
            <w:noWrap/>
            <w:vAlign w:val="bottom"/>
          </w:tcPr>
          <w:p w14:paraId="749A964D"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698503D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2EF0BF99" w14:textId="77777777" w:rsidR="00781CB8" w:rsidRDefault="00781CB8" w:rsidP="00EC7EDE">
            <w:pPr>
              <w:jc w:val="center"/>
            </w:pPr>
            <w:r>
              <w:t>4</w:t>
            </w:r>
          </w:p>
        </w:tc>
      </w:tr>
      <w:tr w:rsidR="00781CB8" w14:paraId="7730783F" w14:textId="77777777" w:rsidTr="00EC7EDE">
        <w:trPr>
          <w:trHeight w:val="300"/>
          <w:jc w:val="center"/>
        </w:trPr>
        <w:tc>
          <w:tcPr>
            <w:tcW w:w="1567" w:type="dxa"/>
            <w:vMerge/>
            <w:shd w:val="clear" w:color="auto" w:fill="auto"/>
            <w:noWrap/>
            <w:vAlign w:val="bottom"/>
          </w:tcPr>
          <w:p w14:paraId="5C3CCA9C" w14:textId="77777777" w:rsidR="00781CB8" w:rsidRPr="00DD093D" w:rsidRDefault="00781CB8" w:rsidP="00EC7EDE">
            <w:pPr>
              <w:jc w:val="both"/>
              <w:rPr>
                <w:rFonts w:eastAsia="Times New Roman"/>
                <w:color w:val="000000"/>
                <w:lang w:eastAsia="ja-JP"/>
              </w:rPr>
            </w:pPr>
          </w:p>
        </w:tc>
        <w:tc>
          <w:tcPr>
            <w:tcW w:w="1044" w:type="dxa"/>
            <w:tcBorders>
              <w:top w:val="single" w:sz="4" w:space="0" w:color="auto"/>
            </w:tcBorders>
            <w:shd w:val="clear" w:color="auto" w:fill="EDEDED" w:themeFill="accent3" w:themeFillTint="33"/>
            <w:vAlign w:val="bottom"/>
          </w:tcPr>
          <w:p w14:paraId="23359B3D"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3" w:type="dxa"/>
            <w:tcBorders>
              <w:top w:val="single" w:sz="4" w:space="0" w:color="auto"/>
            </w:tcBorders>
            <w:shd w:val="clear" w:color="auto" w:fill="DEEAF6" w:themeFill="accent1" w:themeFillTint="33"/>
            <w:noWrap/>
          </w:tcPr>
          <w:p w14:paraId="5A914175" w14:textId="77777777" w:rsidR="00781CB8" w:rsidRDefault="00781CB8" w:rsidP="00EC7EDE">
            <w:pPr>
              <w:jc w:val="center"/>
            </w:pPr>
            <w:r>
              <w:t>5</w:t>
            </w:r>
          </w:p>
        </w:tc>
        <w:tc>
          <w:tcPr>
            <w:tcW w:w="822" w:type="dxa"/>
            <w:tcBorders>
              <w:top w:val="single" w:sz="4" w:space="0" w:color="auto"/>
            </w:tcBorders>
            <w:shd w:val="clear" w:color="auto" w:fill="DEEAF6" w:themeFill="accent1" w:themeFillTint="33"/>
            <w:noWrap/>
          </w:tcPr>
          <w:p w14:paraId="11891E97" w14:textId="77777777" w:rsidR="00781CB8" w:rsidRDefault="00781CB8" w:rsidP="00EC7EDE">
            <w:pPr>
              <w:jc w:val="center"/>
            </w:pPr>
            <w:r>
              <w:t>5</w:t>
            </w:r>
          </w:p>
        </w:tc>
        <w:tc>
          <w:tcPr>
            <w:tcW w:w="851" w:type="dxa"/>
            <w:tcBorders>
              <w:top w:val="single" w:sz="4" w:space="0" w:color="auto"/>
            </w:tcBorders>
            <w:shd w:val="clear" w:color="auto" w:fill="DEEAF6" w:themeFill="accent1" w:themeFillTint="33"/>
            <w:noWrap/>
          </w:tcPr>
          <w:p w14:paraId="54674EB6" w14:textId="77777777" w:rsidR="00781CB8" w:rsidRDefault="00781CB8" w:rsidP="00EC7EDE">
            <w:pPr>
              <w:jc w:val="center"/>
            </w:pPr>
            <w:r>
              <w:t>5</w:t>
            </w:r>
          </w:p>
        </w:tc>
        <w:tc>
          <w:tcPr>
            <w:tcW w:w="850" w:type="dxa"/>
            <w:tcBorders>
              <w:top w:val="single" w:sz="4" w:space="0" w:color="auto"/>
            </w:tcBorders>
            <w:shd w:val="clear" w:color="auto" w:fill="DEEAF6" w:themeFill="accent1" w:themeFillTint="33"/>
            <w:noWrap/>
          </w:tcPr>
          <w:p w14:paraId="1A437D60" w14:textId="77777777" w:rsidR="00781CB8" w:rsidRDefault="00781CB8" w:rsidP="00EC7EDE">
            <w:pPr>
              <w:jc w:val="center"/>
            </w:pPr>
            <w:r>
              <w:t>5</w:t>
            </w:r>
          </w:p>
        </w:tc>
        <w:tc>
          <w:tcPr>
            <w:tcW w:w="881" w:type="dxa"/>
            <w:tcBorders>
              <w:top w:val="single" w:sz="4" w:space="0" w:color="auto"/>
            </w:tcBorders>
            <w:shd w:val="clear" w:color="auto" w:fill="DEEAF6" w:themeFill="accent1" w:themeFillTint="33"/>
            <w:noWrap/>
          </w:tcPr>
          <w:p w14:paraId="2A2D9CE0" w14:textId="77777777" w:rsidR="00781CB8" w:rsidRDefault="00781CB8" w:rsidP="00EC7EDE">
            <w:pPr>
              <w:jc w:val="center"/>
            </w:pPr>
            <w:r>
              <w:t>5</w:t>
            </w:r>
          </w:p>
        </w:tc>
        <w:tc>
          <w:tcPr>
            <w:tcW w:w="851" w:type="dxa"/>
            <w:tcBorders>
              <w:top w:val="single" w:sz="4" w:space="0" w:color="auto"/>
              <w:tl2br w:val="single" w:sz="4" w:space="0" w:color="000000"/>
            </w:tcBorders>
            <w:shd w:val="clear" w:color="auto" w:fill="FFFFFF" w:themeFill="background1"/>
            <w:noWrap/>
            <w:vAlign w:val="bottom"/>
          </w:tcPr>
          <w:p w14:paraId="32E7FE6A" w14:textId="77777777" w:rsidR="00781CB8" w:rsidRPr="00DD093D" w:rsidRDefault="00781CB8" w:rsidP="00EC7EDE">
            <w:pPr>
              <w:jc w:val="center"/>
              <w:rPr>
                <w:rFonts w:eastAsia="Times New Roman"/>
                <w:color w:val="000000"/>
                <w:lang w:eastAsia="ja-JP"/>
              </w:rPr>
            </w:pPr>
          </w:p>
        </w:tc>
        <w:tc>
          <w:tcPr>
            <w:tcW w:w="851" w:type="dxa"/>
            <w:tcBorders>
              <w:top w:val="single" w:sz="4" w:space="0" w:color="auto"/>
            </w:tcBorders>
            <w:shd w:val="clear" w:color="auto" w:fill="DEEAF6" w:themeFill="accent1" w:themeFillTint="33"/>
            <w:noWrap/>
          </w:tcPr>
          <w:p w14:paraId="0917F576" w14:textId="77777777" w:rsidR="00781CB8" w:rsidRDefault="00781CB8" w:rsidP="00EC7EDE">
            <w:pPr>
              <w:jc w:val="center"/>
            </w:pPr>
            <w:r>
              <w:t>5</w:t>
            </w:r>
          </w:p>
        </w:tc>
      </w:tr>
      <w:tr w:rsidR="00781CB8" w:rsidRPr="00DD093D" w14:paraId="635B7897" w14:textId="77777777" w:rsidTr="00EC7EDE">
        <w:trPr>
          <w:trHeight w:val="300"/>
          <w:jc w:val="center"/>
        </w:trPr>
        <w:tc>
          <w:tcPr>
            <w:tcW w:w="1567" w:type="dxa"/>
            <w:vMerge/>
            <w:shd w:val="clear" w:color="auto" w:fill="auto"/>
            <w:noWrap/>
            <w:vAlign w:val="bottom"/>
          </w:tcPr>
          <w:p w14:paraId="1981F490"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298FEC8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c>
          <w:tcPr>
            <w:tcW w:w="853" w:type="dxa"/>
            <w:shd w:val="clear" w:color="auto" w:fill="DEEAF6" w:themeFill="accent1" w:themeFillTint="33"/>
            <w:noWrap/>
          </w:tcPr>
          <w:p w14:paraId="117234C4" w14:textId="77777777" w:rsidR="00781CB8" w:rsidRDefault="00781CB8" w:rsidP="00EC7EDE">
            <w:pPr>
              <w:jc w:val="center"/>
            </w:pPr>
            <w:r>
              <w:t>6</w:t>
            </w:r>
          </w:p>
        </w:tc>
        <w:tc>
          <w:tcPr>
            <w:tcW w:w="822" w:type="dxa"/>
            <w:shd w:val="clear" w:color="auto" w:fill="DEEAF6" w:themeFill="accent1" w:themeFillTint="33"/>
            <w:noWrap/>
            <w:vAlign w:val="bottom"/>
          </w:tcPr>
          <w:p w14:paraId="655EF361"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06ABC89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073A7E4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6A0C3413"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7136B08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tcBorders>
              <w:tl2br w:val="single" w:sz="4" w:space="0" w:color="000000"/>
            </w:tcBorders>
            <w:shd w:val="clear" w:color="auto" w:fill="FFFFFF" w:themeFill="background1"/>
            <w:noWrap/>
            <w:vAlign w:val="bottom"/>
          </w:tcPr>
          <w:p w14:paraId="5A1E9C35" w14:textId="77777777" w:rsidR="00781CB8" w:rsidRPr="00DD093D" w:rsidRDefault="00781CB8" w:rsidP="00EC7EDE">
            <w:pPr>
              <w:jc w:val="center"/>
              <w:rPr>
                <w:rFonts w:eastAsia="Times New Roman"/>
                <w:color w:val="000000"/>
                <w:lang w:eastAsia="ja-JP"/>
              </w:rPr>
            </w:pPr>
          </w:p>
        </w:tc>
      </w:tr>
    </w:tbl>
    <w:p w14:paraId="585A4EF5" w14:textId="77777777" w:rsidR="00CA32CA" w:rsidRDefault="00CA32CA" w:rsidP="00781CB8">
      <w:pPr>
        <w:rPr>
          <w:b/>
        </w:rPr>
      </w:pPr>
    </w:p>
    <w:p w14:paraId="4D9C2CAE" w14:textId="7D152D68" w:rsidR="00781CB8" w:rsidRPr="00781CB8" w:rsidRDefault="00BF469E" w:rsidP="00BF469E">
      <w:pPr>
        <w:jc w:val="both"/>
      </w:pPr>
      <w:r>
        <w:t>More specifically, if the Pcell is FDD, the DL HARQ timing of a TDD Scell is given by its own SIB-1 configuration and the DL HARQ reference configuration of the Pcell using the table above. If the Pcell is TDD, s</w:t>
      </w:r>
      <w:r w:rsidR="00A91E3B">
        <w:t xml:space="preserve">ince only DL/UL configurations </w:t>
      </w:r>
      <w:r>
        <w:t>2, 4 and 5 can be used as a reference configuration of the Pcell, the ti</w:t>
      </w:r>
      <w:r w:rsidR="00A91E3B">
        <w:t xml:space="preserve">ming of the TDD Scell is restricted to the columns of the table associated with configuration 2, 4 or 5 for the Pcell. </w:t>
      </w:r>
      <w:r w:rsidR="00781CB8">
        <w:t xml:space="preserve">An example of this operation is shown in Figure </w:t>
      </w:r>
      <w:r w:rsidR="00513C0F">
        <w:t>2</w:t>
      </w:r>
      <w:r w:rsidR="00781CB8">
        <w:t xml:space="preserve"> for the case of LTE-TDD CA.</w:t>
      </w:r>
    </w:p>
    <w:p w14:paraId="440A8D20" w14:textId="5B32D8F7" w:rsidR="00781CB8" w:rsidRDefault="00086AD4" w:rsidP="00781CB8">
      <w:pPr>
        <w:keepNext/>
        <w:jc w:val="center"/>
      </w:pPr>
      <w:r>
        <w:object w:dxaOrig="20355" w:dyaOrig="5258" w14:anchorId="164872A4">
          <v:shape id="_x0000_i1026" type="#_x0000_t75" style="width:496.5pt;height:129.75pt" o:ole="">
            <v:imagedata r:id="rId14" o:title=""/>
          </v:shape>
          <o:OLEObject Type="Embed" ProgID="Visio.Drawing.15" ShapeID="_x0000_i1026" DrawAspect="Content" ObjectID="_1627497915" r:id="rId15"/>
        </w:object>
      </w:r>
    </w:p>
    <w:p w14:paraId="3E7C04AC" w14:textId="307BEFA9" w:rsidR="00781CB8" w:rsidRDefault="00781CB8" w:rsidP="00781CB8">
      <w:pPr>
        <w:pStyle w:val="Caption"/>
        <w:jc w:val="center"/>
      </w:pPr>
      <w:r>
        <w:t xml:space="preserve">Figure </w:t>
      </w:r>
      <w:r w:rsidR="00352A75">
        <w:rPr>
          <w:noProof/>
        </w:rPr>
        <w:t>2</w:t>
      </w:r>
      <w:r>
        <w:t>: An example of downlink HARQ timing for LTE-TDD CA under EN-DC.</w:t>
      </w:r>
    </w:p>
    <w:p w14:paraId="4FAC322C" w14:textId="77777777" w:rsidR="00892314" w:rsidRPr="00892314" w:rsidRDefault="00892314" w:rsidP="00892314"/>
    <w:p w14:paraId="08556E9B" w14:textId="0A7C76A0" w:rsidR="003C0D10" w:rsidRDefault="003C0D10" w:rsidP="003C0D10">
      <w:pPr>
        <w:jc w:val="both"/>
      </w:pPr>
      <w:r>
        <w:t>In this example, the TDD Pcell has the SIB1 DL/UL configura</w:t>
      </w:r>
      <w:r w:rsidR="00A91E3B">
        <w:t xml:space="preserve">tion #3. </w:t>
      </w:r>
      <w:r w:rsidR="00CA32CA">
        <w:t>F</w:t>
      </w:r>
      <w:r>
        <w:t>or downlink HARQ timing, the Pcell is additionally configured with a reference DL/UL confgiration #4. Hence, on the Pcell, the HARQ timing is given by TDD configuration #4. The secondary serving cell has the SIB1 DL/UL configuration #2. Hence, its DL HARQ timing reference is given by the pair of configuration #2 and #4 (which is configured for the Pcell by RRC.) As a result, according to Table 1, the downlink HARQ timing of the secondary cell is based on the TDD DL/UL configuration #3.</w:t>
      </w:r>
      <w:r w:rsidR="00FF2F30">
        <w:t xml:space="preserve"> As further can be seen from this example, </w:t>
      </w:r>
      <w:r w:rsidR="00FF2F30">
        <w:lastRenderedPageBreak/>
        <w:t xml:space="preserve">all LTE downlink subframes on both serving cells can be used for LTE data transmission. The LTE HARQ-ACK reporting is also limited to subframes 2 and 3 of each frame. </w:t>
      </w:r>
    </w:p>
    <w:p w14:paraId="1B5294EC" w14:textId="6E183D97" w:rsidR="00881A40" w:rsidRDefault="00881A40" w:rsidP="003C0D10">
      <w:pPr>
        <w:jc w:val="both"/>
      </w:pPr>
      <w:r>
        <w:t>Hence, we propose to modify the following two FFS points according to Proposal 4 below.</w:t>
      </w:r>
    </w:p>
    <w:p w14:paraId="15122B96" w14:textId="77777777" w:rsidR="00881A40" w:rsidRPr="007A5886" w:rsidRDefault="00881A40" w:rsidP="00881A40">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For the LTE TDD SCell with different UL/DL configuration (as in SIB1) as the TDD PCell: use the PDSCH ACK timeline for SCell as in case of LTE FDD-TDD CA with LTE TDD PCell (i.e. Table 10.1.3A-1 in 36.213)</w:t>
      </w:r>
    </w:p>
    <w:p w14:paraId="751ECD31" w14:textId="77777777" w:rsidR="00881A40" w:rsidRPr="007A5886" w:rsidRDefault="00881A40" w:rsidP="00881A40">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For the LTE TDD SCell with the same UL/DL configuration (as in SIB1) as the TDD PCell: use the same PDSCH ACK timeline as the LTE TDD PCell (i.e. Table 10.1.3.1-1 in 36.213)</w:t>
      </w:r>
    </w:p>
    <w:p w14:paraId="32FFA964" w14:textId="77777777" w:rsidR="00881A40" w:rsidRDefault="00881A40" w:rsidP="003C0D10">
      <w:pPr>
        <w:jc w:val="both"/>
      </w:pPr>
    </w:p>
    <w:p w14:paraId="3429B6F6" w14:textId="6F56AE65" w:rsidR="00881A40" w:rsidRDefault="003D3EBB" w:rsidP="00881A40">
      <w:pPr>
        <w:jc w:val="both"/>
        <w:rPr>
          <w:b/>
        </w:rPr>
      </w:pPr>
      <w:r w:rsidRPr="00FF2F30">
        <w:rPr>
          <w:b/>
        </w:rPr>
        <w:t>Pro</w:t>
      </w:r>
      <w:r>
        <w:rPr>
          <w:b/>
        </w:rPr>
        <w:t xml:space="preserve">posal </w:t>
      </w:r>
      <w:r w:rsidR="00B92F3A">
        <w:rPr>
          <w:b/>
        </w:rPr>
        <w:t>5</w:t>
      </w:r>
      <w:r w:rsidRPr="00FF2F30">
        <w:rPr>
          <w:b/>
        </w:rPr>
        <w:t xml:space="preserve">: For a UE configured with EN-DC and more than one </w:t>
      </w:r>
      <w:r>
        <w:rPr>
          <w:b/>
        </w:rPr>
        <w:t xml:space="preserve">DL </w:t>
      </w:r>
      <w:r w:rsidRPr="00FF2F30">
        <w:rPr>
          <w:b/>
        </w:rPr>
        <w:t>LTE serving cell</w:t>
      </w:r>
      <w:r w:rsidR="00881A40">
        <w:rPr>
          <w:b/>
        </w:rPr>
        <w:t xml:space="preserve">, and for a </w:t>
      </w:r>
      <w:r w:rsidR="00881A40" w:rsidRPr="00FF2F30">
        <w:rPr>
          <w:b/>
        </w:rPr>
        <w:t>TDD secondary cell</w:t>
      </w:r>
      <w:r w:rsidR="00881A40">
        <w:rPr>
          <w:b/>
        </w:rPr>
        <w:t xml:space="preserve"> with different SIB1 UL/DL configuration compared to the TDD Pcell reference HARQ configuration, t</w:t>
      </w:r>
      <w:r w:rsidRPr="00881A40">
        <w:rPr>
          <w:b/>
        </w:rPr>
        <w:t xml:space="preserve">he downlink HARQ timing reference configuration is given by the pair of its own SIB1 DL/UL configuration and the </w:t>
      </w:r>
      <w:r w:rsidR="00881A40" w:rsidRPr="00881A40">
        <w:rPr>
          <w:b/>
        </w:rPr>
        <w:t>reference DL HARQ configuration</w:t>
      </w:r>
      <w:r w:rsidRPr="00881A40">
        <w:rPr>
          <w:b/>
        </w:rPr>
        <w:t xml:space="preserve"> of the Pcell similar to the LTE TDD-TDD CA with different DL/UL configurations. </w:t>
      </w:r>
      <w:r w:rsidR="00FF2F30" w:rsidRPr="00881A40">
        <w:rPr>
          <w:b/>
        </w:rPr>
        <w:t xml:space="preserve"> </w:t>
      </w:r>
    </w:p>
    <w:p w14:paraId="39279AB1" w14:textId="6E0807FB" w:rsidR="00881A40" w:rsidRDefault="00881A40" w:rsidP="00881A40">
      <w:pPr>
        <w:pStyle w:val="Heading1"/>
        <w:jc w:val="both"/>
        <w:rPr>
          <w:rFonts w:ascii="Times New Roman" w:hAnsi="Times New Roman"/>
        </w:rPr>
      </w:pPr>
      <w:r>
        <w:rPr>
          <w:rFonts w:ascii="Times New Roman" w:hAnsi="Times New Roman"/>
        </w:rPr>
        <w:t>Supported PUCCH Formats</w:t>
      </w:r>
    </w:p>
    <w:p w14:paraId="452719ED" w14:textId="5EE12359" w:rsidR="00881A40" w:rsidRDefault="00881A40" w:rsidP="00881A40">
      <w:pPr>
        <w:rPr>
          <w:lang w:val="en-GB"/>
        </w:rPr>
      </w:pPr>
      <w:r>
        <w:rPr>
          <w:lang w:val="en-GB"/>
        </w:rPr>
        <w:t>In RAN #96b, it was agreed that:</w:t>
      </w:r>
    </w:p>
    <w:p w14:paraId="3EC75EBF" w14:textId="52B841A8" w:rsidR="00881A40" w:rsidRPr="007A5886" w:rsidRDefault="00881A40" w:rsidP="00881A40">
      <w:pPr>
        <w:pStyle w:val="ListParagraph"/>
        <w:numPr>
          <w:ilvl w:val="0"/>
          <w:numId w:val="13"/>
        </w:numPr>
        <w:jc w:val="both"/>
        <w:rPr>
          <w:rFonts w:ascii="Times New Roman" w:hAnsi="Times New Roman"/>
          <w:i/>
          <w:sz w:val="20"/>
          <w:lang w:eastAsia="x-none"/>
        </w:rPr>
      </w:pPr>
      <w:r>
        <w:rPr>
          <w:rFonts w:ascii="Times New Roman" w:hAnsi="Times New Roman"/>
          <w:i/>
          <w:sz w:val="20"/>
          <w:lang w:val="en-GB" w:eastAsia="x-none"/>
        </w:rPr>
        <w:t>“</w:t>
      </w:r>
      <w:r w:rsidRPr="007A5886">
        <w:rPr>
          <w:rFonts w:ascii="Times New Roman" w:hAnsi="Times New Roman"/>
          <w:i/>
          <w:sz w:val="20"/>
          <w:lang w:val="en-GB" w:eastAsia="x-none"/>
        </w:rPr>
        <w:t>For single UL operation in EN-DC with LTE TDD PCell, and UE is configured with DL-reference UL/DL configuration</w:t>
      </w:r>
      <w:r>
        <w:rPr>
          <w:rFonts w:ascii="Times New Roman" w:hAnsi="Times New Roman"/>
          <w:i/>
          <w:sz w:val="20"/>
          <w:lang w:val="en-GB" w:eastAsia="x-none"/>
        </w:rPr>
        <w:t>:</w:t>
      </w:r>
    </w:p>
    <w:p w14:paraId="018AA0A7" w14:textId="77777777" w:rsidR="00881A40" w:rsidRPr="007A5886" w:rsidRDefault="00881A40" w:rsidP="00881A40">
      <w:pPr>
        <w:pStyle w:val="ListParagraph"/>
        <w:numPr>
          <w:ilvl w:val="1"/>
          <w:numId w:val="13"/>
        </w:numPr>
        <w:jc w:val="both"/>
        <w:rPr>
          <w:rFonts w:ascii="Times New Roman" w:hAnsi="Times New Roman"/>
          <w:i/>
          <w:sz w:val="20"/>
          <w:lang w:eastAsia="x-none"/>
        </w:rPr>
      </w:pPr>
      <w:r w:rsidRPr="007A5886">
        <w:rPr>
          <w:rFonts w:ascii="Times New Roman" w:hAnsi="Times New Roman"/>
          <w:i/>
          <w:sz w:val="20"/>
          <w:lang w:val="en-GB" w:eastAsia="x-none"/>
        </w:rPr>
        <w:t>Support PUCCH formats 3/4/5, PUCCH fallback operation based on implicit resource indication is not supported.</w:t>
      </w:r>
    </w:p>
    <w:p w14:paraId="3E41E349" w14:textId="77777777" w:rsidR="00881A40"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PUCCH format and resource determination when the UE only receives DAI=1</w:t>
      </w:r>
    </w:p>
    <w:p w14:paraId="00B93F57" w14:textId="192E571F" w:rsidR="00881A40" w:rsidRPr="00881A40"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whether or not there are any additional issues related to SPS</w:t>
      </w:r>
      <w:r>
        <w:rPr>
          <w:rFonts w:ascii="Times New Roman" w:hAnsi="Times New Roman"/>
          <w:i/>
          <w:sz w:val="20"/>
          <w:lang w:val="en-GB" w:eastAsia="x-none"/>
        </w:rPr>
        <w:t>”</w:t>
      </w:r>
    </w:p>
    <w:p w14:paraId="21D110F6" w14:textId="015E7239" w:rsidR="00881A40" w:rsidRDefault="00881A40" w:rsidP="00881A40">
      <w:pPr>
        <w:jc w:val="both"/>
        <w:rPr>
          <w:i/>
          <w:lang w:eastAsia="x-none"/>
        </w:rPr>
      </w:pPr>
    </w:p>
    <w:p w14:paraId="0C9CF7BB" w14:textId="52D74FC1" w:rsidR="00535EA5" w:rsidRPr="00BF2ACE" w:rsidRDefault="00732B63" w:rsidP="00881A40">
      <w:pPr>
        <w:jc w:val="both"/>
        <w:rPr>
          <w:rFonts w:eastAsia="MS Mincho"/>
          <w:lang w:eastAsia="ja-JP"/>
        </w:rPr>
      </w:pPr>
      <w:r>
        <w:rPr>
          <w:rFonts w:eastAsia="MS Mincho"/>
          <w:lang w:eastAsia="ja-JP"/>
        </w:rPr>
        <w:t xml:space="preserve">PUCCH fallback operation based on implicit resource indication in the legacy LTE was </w:t>
      </w:r>
      <w:proofErr w:type="gramStart"/>
      <w:r>
        <w:rPr>
          <w:rFonts w:eastAsia="MS Mincho"/>
          <w:lang w:eastAsia="ja-JP"/>
        </w:rPr>
        <w:t>based on the fact that</w:t>
      </w:r>
      <w:proofErr w:type="gramEnd"/>
      <w:r>
        <w:rPr>
          <w:rFonts w:eastAsia="MS Mincho"/>
          <w:lang w:eastAsia="ja-JP"/>
        </w:rPr>
        <w:t xml:space="preserve"> PUCCH resources for different UEs are automatically orthogonal by using one-to-one mapping with </w:t>
      </w:r>
      <w:r w:rsidR="00404768">
        <w:rPr>
          <w:rFonts w:eastAsia="MS Mincho"/>
          <w:lang w:eastAsia="ja-JP"/>
        </w:rPr>
        <w:t xml:space="preserve">the first </w:t>
      </w:r>
      <w:r>
        <w:rPr>
          <w:rFonts w:eastAsia="MS Mincho"/>
          <w:lang w:eastAsia="ja-JP"/>
        </w:rPr>
        <w:t>CCE indexes</w:t>
      </w:r>
      <w:r w:rsidR="00B06C20">
        <w:rPr>
          <w:rFonts w:eastAsia="MS Mincho"/>
          <w:lang w:eastAsia="ja-JP"/>
        </w:rPr>
        <w:t xml:space="preserve"> where the DL assignments are mapped</w:t>
      </w:r>
      <w:r>
        <w:rPr>
          <w:rFonts w:eastAsia="MS Mincho"/>
          <w:lang w:eastAsia="ja-JP"/>
        </w:rPr>
        <w:t xml:space="preserve">. However, in case UEs </w:t>
      </w:r>
      <w:r w:rsidR="00B06C20">
        <w:rPr>
          <w:rFonts w:eastAsia="MS Mincho"/>
          <w:lang w:eastAsia="ja-JP"/>
        </w:rPr>
        <w:t xml:space="preserve">in the same cell may use either SIB1 UL-DL configuration or a </w:t>
      </w:r>
      <w:r>
        <w:rPr>
          <w:rFonts w:eastAsia="MS Mincho"/>
          <w:lang w:eastAsia="ja-JP"/>
        </w:rPr>
        <w:t xml:space="preserve">DL-reference UL-DL configuration, this is no longer true. </w:t>
      </w:r>
      <w:proofErr w:type="gramStart"/>
      <w:r>
        <w:rPr>
          <w:rFonts w:eastAsia="MS Mincho"/>
          <w:lang w:eastAsia="ja-JP"/>
        </w:rPr>
        <w:t>As a consequence</w:t>
      </w:r>
      <w:proofErr w:type="gramEnd"/>
      <w:r>
        <w:rPr>
          <w:rFonts w:eastAsia="MS Mincho"/>
          <w:lang w:eastAsia="ja-JP"/>
        </w:rPr>
        <w:t>, PUCCH resource management</w:t>
      </w:r>
      <w:r w:rsidR="003A77CA">
        <w:rPr>
          <w:rFonts w:eastAsia="MS Mincho"/>
          <w:lang w:eastAsia="ja-JP"/>
        </w:rPr>
        <w:t xml:space="preserve"> from the </w:t>
      </w:r>
      <w:proofErr w:type="spellStart"/>
      <w:r w:rsidR="003A77CA">
        <w:rPr>
          <w:rFonts w:eastAsia="MS Mincho"/>
          <w:lang w:eastAsia="ja-JP"/>
        </w:rPr>
        <w:t>eNB</w:t>
      </w:r>
      <w:proofErr w:type="spellEnd"/>
      <w:r w:rsidR="003A77CA">
        <w:rPr>
          <w:rFonts w:eastAsia="MS Mincho"/>
          <w:lang w:eastAsia="ja-JP"/>
        </w:rPr>
        <w:t xml:space="preserve"> point of view</w:t>
      </w:r>
      <w:r>
        <w:rPr>
          <w:rFonts w:eastAsia="MS Mincho"/>
          <w:lang w:eastAsia="ja-JP"/>
        </w:rPr>
        <w:t xml:space="preserve"> for implicit resource determination would be highly complicated. </w:t>
      </w:r>
      <w:r w:rsidR="00F200C7">
        <w:rPr>
          <w:rFonts w:eastAsia="MS Mincho"/>
          <w:lang w:eastAsia="ja-JP"/>
        </w:rPr>
        <w:t>Therefore, for EN-DC single UL with TDD-</w:t>
      </w:r>
      <w:proofErr w:type="spellStart"/>
      <w:r w:rsidR="00F200C7">
        <w:rPr>
          <w:rFonts w:eastAsia="MS Mincho"/>
          <w:lang w:eastAsia="ja-JP"/>
        </w:rPr>
        <w:t>PCell</w:t>
      </w:r>
      <w:proofErr w:type="spellEnd"/>
      <w:r w:rsidR="00F200C7">
        <w:rPr>
          <w:rFonts w:eastAsia="MS Mincho"/>
          <w:lang w:eastAsia="ja-JP"/>
        </w:rPr>
        <w:t>, only PUCCH format 3/4/5 without fallback operation should be supported.</w:t>
      </w:r>
    </w:p>
    <w:p w14:paraId="38E56DDD" w14:textId="1F82E8BA" w:rsidR="0008625B" w:rsidRDefault="00881A40" w:rsidP="00BD673D">
      <w:pPr>
        <w:jc w:val="both"/>
        <w:rPr>
          <w:rFonts w:eastAsia="MS Mincho"/>
          <w:lang w:eastAsia="ja-JP"/>
        </w:rPr>
      </w:pPr>
      <w:r w:rsidRPr="00881A40">
        <w:rPr>
          <w:b/>
          <w:lang w:eastAsia="x-none"/>
        </w:rPr>
        <w:t xml:space="preserve">Proposal </w:t>
      </w:r>
      <w:r w:rsidR="00B92F3A">
        <w:rPr>
          <w:b/>
          <w:lang w:eastAsia="x-none"/>
        </w:rPr>
        <w:t>6</w:t>
      </w:r>
      <w:r w:rsidRPr="00881A40">
        <w:rPr>
          <w:b/>
          <w:lang w:eastAsia="x-none"/>
        </w:rPr>
        <w:t>: For EN-DC with TDD-Pcell, only PUCCH formats 3/4/5 without the fallback operation are supported.</w:t>
      </w:r>
    </w:p>
    <w:p w14:paraId="28927828" w14:textId="7BDBD3F0" w:rsidR="00BD673D" w:rsidRDefault="0008625B" w:rsidP="00BD673D">
      <w:pPr>
        <w:jc w:val="both"/>
        <w:rPr>
          <w:rFonts w:eastAsia="MS Mincho"/>
          <w:lang w:eastAsia="ja-JP"/>
        </w:rPr>
      </w:pPr>
      <w:r>
        <w:rPr>
          <w:rFonts w:eastAsia="MS Mincho"/>
          <w:lang w:eastAsia="ja-JP"/>
        </w:rPr>
        <w:t>W</w:t>
      </w:r>
      <w:r w:rsidR="00BD673D">
        <w:rPr>
          <w:rFonts w:eastAsia="MS Mincho"/>
          <w:lang w:eastAsia="ja-JP"/>
        </w:rPr>
        <w:t xml:space="preserve">hen there is only one DCI scheduling </w:t>
      </w:r>
      <w:r w:rsidR="000F4377">
        <w:rPr>
          <w:rFonts w:eastAsia="MS Mincho"/>
          <w:lang w:eastAsia="ja-JP"/>
        </w:rPr>
        <w:t xml:space="preserve">a </w:t>
      </w:r>
      <w:r w:rsidR="00BD673D">
        <w:rPr>
          <w:rFonts w:eastAsia="MS Mincho"/>
          <w:lang w:eastAsia="ja-JP"/>
        </w:rPr>
        <w:t>PDSCH (</w:t>
      </w:r>
      <w:r w:rsidR="000F4377">
        <w:rPr>
          <w:rFonts w:eastAsia="MS Mincho"/>
          <w:lang w:eastAsia="ja-JP"/>
        </w:rPr>
        <w:t>corresponding to</w:t>
      </w:r>
      <w:r w:rsidR="00BD673D">
        <w:rPr>
          <w:rFonts w:eastAsia="MS Mincho"/>
          <w:lang w:eastAsia="ja-JP"/>
        </w:rPr>
        <w:t xml:space="preserve"> DAI=1) or SPS PDSCH only, “ARI” is not available and hence, </w:t>
      </w:r>
      <w:r w:rsidR="000F4377">
        <w:rPr>
          <w:rFonts w:eastAsia="MS Mincho"/>
          <w:lang w:eastAsia="ja-JP"/>
        </w:rPr>
        <w:t xml:space="preserve">the </w:t>
      </w:r>
      <w:r w:rsidR="00BD673D">
        <w:rPr>
          <w:rFonts w:eastAsia="MS Mincho"/>
          <w:lang w:eastAsia="ja-JP"/>
        </w:rPr>
        <w:t xml:space="preserve">PUCCH resource for HARQ-ACK feedback </w:t>
      </w:r>
      <w:r w:rsidR="009A78DE">
        <w:rPr>
          <w:rFonts w:eastAsia="MS Mincho"/>
          <w:lang w:eastAsia="ja-JP"/>
        </w:rPr>
        <w:t xml:space="preserve">for the PDSCH </w:t>
      </w:r>
      <w:r w:rsidR="00BD673D">
        <w:rPr>
          <w:rFonts w:eastAsia="MS Mincho"/>
          <w:lang w:eastAsia="ja-JP"/>
        </w:rPr>
        <w:t xml:space="preserve">cannot be identified. At the RAN1#97 meeting, </w:t>
      </w:r>
      <w:r w:rsidR="009A78DE">
        <w:rPr>
          <w:rFonts w:eastAsia="MS Mincho"/>
          <w:lang w:eastAsia="ja-JP"/>
        </w:rPr>
        <w:t xml:space="preserve">it was proposed </w:t>
      </w:r>
      <w:r w:rsidR="00BD673D">
        <w:rPr>
          <w:rFonts w:eastAsia="MS Mincho"/>
          <w:lang w:eastAsia="ja-JP"/>
        </w:rPr>
        <w:t xml:space="preserve">to use the PUCCH resource corresponding to ARI=0 in this case. However, this </w:t>
      </w:r>
      <w:r>
        <w:rPr>
          <w:rFonts w:eastAsia="MS Mincho"/>
          <w:lang w:eastAsia="ja-JP"/>
        </w:rPr>
        <w:t xml:space="preserve">would cause a restriction to the </w:t>
      </w:r>
      <w:proofErr w:type="spellStart"/>
      <w:r>
        <w:rPr>
          <w:rFonts w:eastAsia="MS Mincho"/>
          <w:lang w:eastAsia="ja-JP"/>
        </w:rPr>
        <w:t>eNB</w:t>
      </w:r>
      <w:proofErr w:type="spellEnd"/>
      <w:r>
        <w:rPr>
          <w:rFonts w:eastAsia="MS Mincho"/>
          <w:lang w:eastAsia="ja-JP"/>
        </w:rPr>
        <w:t xml:space="preserve"> scheduler. A</w:t>
      </w:r>
      <w:r w:rsidR="000F4377">
        <w:rPr>
          <w:rFonts w:eastAsia="MS Mincho"/>
          <w:lang w:eastAsia="ja-JP"/>
        </w:rPr>
        <w:t xml:space="preserve">ssume the UE is scheduled with two PDSCHs, each of them </w:t>
      </w:r>
      <w:proofErr w:type="gramStart"/>
      <w:r w:rsidR="000F4377">
        <w:rPr>
          <w:rFonts w:eastAsia="MS Mincho"/>
          <w:lang w:eastAsia="ja-JP"/>
        </w:rPr>
        <w:t>correspond</w:t>
      </w:r>
      <w:proofErr w:type="gramEnd"/>
      <w:r w:rsidR="000F4377">
        <w:rPr>
          <w:rFonts w:eastAsia="MS Mincho"/>
          <w:lang w:eastAsia="ja-JP"/>
        </w:rPr>
        <w:t xml:space="preserve"> to DAI=1 and DAI=2. If the DCI scheduling the second PDSCH with DAI=2 indicates the PUCCH resource corresponding to ARI=0, </w:t>
      </w:r>
      <w:r w:rsidR="00C54CD6">
        <w:rPr>
          <w:rFonts w:eastAsia="MS Mincho"/>
          <w:lang w:eastAsia="ja-JP"/>
        </w:rPr>
        <w:t>the UE transmits HARQ-ACK on the PUCCH resource corresponding to ARI=0, regardless of which DCI (the one scheduling the first PDSCH or the second PDSCH) the UE has detected</w:t>
      </w:r>
      <w:r w:rsidR="005443FF">
        <w:rPr>
          <w:rFonts w:eastAsia="MS Mincho"/>
          <w:lang w:eastAsia="ja-JP"/>
        </w:rPr>
        <w:t xml:space="preserve">; hence, the </w:t>
      </w:r>
      <w:proofErr w:type="spellStart"/>
      <w:r w:rsidR="005443FF">
        <w:rPr>
          <w:rFonts w:eastAsia="MS Mincho"/>
          <w:lang w:eastAsia="ja-JP"/>
        </w:rPr>
        <w:t>gNB</w:t>
      </w:r>
      <w:proofErr w:type="spellEnd"/>
      <w:r w:rsidR="005443FF">
        <w:rPr>
          <w:rFonts w:eastAsia="MS Mincho"/>
          <w:lang w:eastAsia="ja-JP"/>
        </w:rPr>
        <w:t xml:space="preserve"> would not be able to detect DTX.</w:t>
      </w:r>
      <w:r>
        <w:rPr>
          <w:rFonts w:eastAsia="MS Mincho"/>
          <w:lang w:eastAsia="ja-JP"/>
        </w:rPr>
        <w:t xml:space="preserve"> This can be resolved by indicating an ARI value other than zero in the DCI scheduling the second PDSCH</w:t>
      </w:r>
      <w:r w:rsidR="00A2182D">
        <w:rPr>
          <w:rFonts w:eastAsia="MS Mincho"/>
          <w:lang w:eastAsia="ja-JP"/>
        </w:rPr>
        <w:t xml:space="preserve">; however, </w:t>
      </w:r>
      <w:r>
        <w:rPr>
          <w:rFonts w:eastAsia="MS Mincho"/>
          <w:lang w:eastAsia="ja-JP"/>
        </w:rPr>
        <w:t xml:space="preserve">letting </w:t>
      </w:r>
      <w:proofErr w:type="spellStart"/>
      <w:r>
        <w:rPr>
          <w:rFonts w:eastAsia="MS Mincho"/>
          <w:lang w:eastAsia="ja-JP"/>
        </w:rPr>
        <w:t>gNB</w:t>
      </w:r>
      <w:proofErr w:type="spellEnd"/>
      <w:r>
        <w:rPr>
          <w:rFonts w:eastAsia="MS Mincho"/>
          <w:lang w:eastAsia="ja-JP"/>
        </w:rPr>
        <w:t xml:space="preserve"> to indicate ARI value other than zero is a restriction of PUCCH resource management from the </w:t>
      </w:r>
      <w:proofErr w:type="spellStart"/>
      <w:r>
        <w:rPr>
          <w:rFonts w:eastAsia="MS Mincho"/>
          <w:lang w:eastAsia="ja-JP"/>
        </w:rPr>
        <w:t>gNB</w:t>
      </w:r>
      <w:proofErr w:type="spellEnd"/>
      <w:r>
        <w:rPr>
          <w:rFonts w:eastAsia="MS Mincho"/>
          <w:lang w:eastAsia="ja-JP"/>
        </w:rPr>
        <w:t xml:space="preserve"> point of view.</w:t>
      </w:r>
    </w:p>
    <w:p w14:paraId="203039FA" w14:textId="38C9AA3F" w:rsidR="005443FF" w:rsidRDefault="0008625B" w:rsidP="00BD673D">
      <w:pPr>
        <w:jc w:val="both"/>
        <w:rPr>
          <w:rFonts w:eastAsia="MS Mincho"/>
          <w:lang w:eastAsia="ja-JP"/>
        </w:rPr>
      </w:pPr>
      <w:r>
        <w:rPr>
          <w:rFonts w:eastAsia="MS Mincho"/>
          <w:lang w:eastAsia="ja-JP"/>
        </w:rPr>
        <w:t>A simple solution is to introduce a</w:t>
      </w:r>
      <w:r w:rsidR="005443FF">
        <w:rPr>
          <w:rFonts w:eastAsia="MS Mincho"/>
          <w:lang w:eastAsia="ja-JP"/>
        </w:rPr>
        <w:t>n</w:t>
      </w:r>
      <w:r>
        <w:rPr>
          <w:rFonts w:eastAsia="MS Mincho"/>
          <w:lang w:eastAsia="ja-JP"/>
        </w:rPr>
        <w:t xml:space="preserve"> RRC parameter which configures a PUCCH resource in case the UE receives DAI=1 or SPS PDSCH only. This can be an optional field and it can be specified that the PUCCH resource corresponding to ARI=0 is used if the field is absent.</w:t>
      </w:r>
      <w:r w:rsidR="00D92565">
        <w:rPr>
          <w:rFonts w:eastAsia="MS Mincho"/>
          <w:lang w:eastAsia="ja-JP"/>
        </w:rPr>
        <w:t xml:space="preserve"> </w:t>
      </w:r>
      <w:r w:rsidR="00133A61">
        <w:rPr>
          <w:rFonts w:eastAsia="MS Mincho"/>
          <w:lang w:eastAsia="ja-JP"/>
        </w:rPr>
        <w:t>By configuring a PUCCH resource different from all corresponding ARI values, the UE’s feedback behavior is equally reliable regardless of the values of DAI and ARI.</w:t>
      </w:r>
    </w:p>
    <w:p w14:paraId="340E293B" w14:textId="2B950CF4" w:rsidR="00B64AD4" w:rsidRDefault="00133A61" w:rsidP="00881A40">
      <w:pPr>
        <w:jc w:val="both"/>
        <w:rPr>
          <w:lang w:eastAsia="x-none"/>
        </w:rPr>
      </w:pPr>
      <w:r w:rsidRPr="00BF2ACE">
        <w:rPr>
          <w:rFonts w:eastAsia="MS Mincho"/>
          <w:b/>
          <w:lang w:eastAsia="ja-JP"/>
        </w:rPr>
        <w:t xml:space="preserve">Proposal 7: </w:t>
      </w:r>
      <w:r w:rsidR="00AF7873" w:rsidRPr="00BF2ACE">
        <w:rPr>
          <w:rFonts w:eastAsia="MS Mincho"/>
          <w:b/>
          <w:lang w:eastAsia="ja-JP"/>
        </w:rPr>
        <w:t>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p w14:paraId="211B58EF" w14:textId="50174884" w:rsidR="00B64AD4" w:rsidRDefault="00B64AD4" w:rsidP="00B64AD4">
      <w:pPr>
        <w:pStyle w:val="Heading1"/>
        <w:jc w:val="both"/>
        <w:rPr>
          <w:rFonts w:ascii="Times New Roman" w:hAnsi="Times New Roman"/>
        </w:rPr>
      </w:pPr>
      <w:r>
        <w:rPr>
          <w:rFonts w:ascii="Times New Roman" w:hAnsi="Times New Roman"/>
        </w:rPr>
        <w:lastRenderedPageBreak/>
        <w:t>Support of TDD-</w:t>
      </w:r>
      <w:proofErr w:type="spellStart"/>
      <w:r>
        <w:rPr>
          <w:rFonts w:ascii="Times New Roman" w:hAnsi="Times New Roman"/>
        </w:rPr>
        <w:t>PCell</w:t>
      </w:r>
      <w:proofErr w:type="spellEnd"/>
      <w:r>
        <w:rPr>
          <w:rFonts w:ascii="Times New Roman" w:hAnsi="Times New Roman"/>
        </w:rPr>
        <w:t xml:space="preserve"> UL-DL configuration #0 and #6</w:t>
      </w:r>
    </w:p>
    <w:p w14:paraId="312F9361" w14:textId="1BA223EC" w:rsidR="00B64AD4" w:rsidRDefault="005443FF" w:rsidP="00BF4A68">
      <w:pPr>
        <w:jc w:val="both"/>
        <w:rPr>
          <w:rFonts w:eastAsia="MS Mincho"/>
          <w:lang w:val="en-GB" w:eastAsia="ja-JP"/>
        </w:rPr>
      </w:pPr>
      <w:r>
        <w:rPr>
          <w:rFonts w:eastAsia="MS Mincho"/>
          <w:lang w:val="en-GB" w:eastAsia="ja-JP"/>
        </w:rPr>
        <w:t xml:space="preserve">The </w:t>
      </w:r>
      <w:r w:rsidR="00DA0989" w:rsidRPr="00DA0989">
        <w:rPr>
          <w:rFonts w:eastAsia="MS Mincho"/>
          <w:lang w:val="en-GB" w:eastAsia="ja-JP"/>
        </w:rPr>
        <w:t xml:space="preserve">UL HARQ timing is the same as without reference configuration for </w:t>
      </w:r>
      <w:proofErr w:type="spellStart"/>
      <w:r w:rsidR="00DA0989" w:rsidRPr="00DA0989">
        <w:rPr>
          <w:rFonts w:eastAsia="MS Mincho"/>
          <w:lang w:val="en-GB" w:eastAsia="ja-JP"/>
        </w:rPr>
        <w:t>PCell’s</w:t>
      </w:r>
      <w:proofErr w:type="spellEnd"/>
      <w:r w:rsidR="00DA0989" w:rsidRPr="00DA0989">
        <w:rPr>
          <w:rFonts w:eastAsia="MS Mincho"/>
          <w:lang w:val="en-GB" w:eastAsia="ja-JP"/>
        </w:rPr>
        <w:t xml:space="preserve"> UL/DL configuration other than TDD pattern 0/6</w:t>
      </w:r>
      <w:r w:rsidR="00DA0989">
        <w:rPr>
          <w:rFonts w:eastAsia="MS Mincho"/>
          <w:lang w:val="en-GB" w:eastAsia="ja-JP"/>
        </w:rPr>
        <w:t>; the remaining issue is handling the case of UL-DL configuration #0 or #6 on the TDD-</w:t>
      </w:r>
      <w:proofErr w:type="spellStart"/>
      <w:r w:rsidR="00DA0989">
        <w:rPr>
          <w:rFonts w:eastAsia="MS Mincho"/>
          <w:lang w:val="en-GB" w:eastAsia="ja-JP"/>
        </w:rPr>
        <w:t>PCell</w:t>
      </w:r>
      <w:proofErr w:type="spellEnd"/>
      <w:r w:rsidR="00DA0989">
        <w:rPr>
          <w:rFonts w:eastAsia="MS Mincho"/>
          <w:lang w:val="en-GB" w:eastAsia="ja-JP"/>
        </w:rPr>
        <w:t xml:space="preserve">. </w:t>
      </w:r>
    </w:p>
    <w:p w14:paraId="00038810" w14:textId="09B74709" w:rsidR="00F2169A" w:rsidRDefault="008553BF" w:rsidP="00BF4A68">
      <w:pPr>
        <w:jc w:val="both"/>
        <w:rPr>
          <w:rFonts w:eastAsia="MS Mincho"/>
          <w:lang w:val="en-GB" w:eastAsia="ja-JP"/>
        </w:rPr>
      </w:pPr>
      <w:r>
        <w:rPr>
          <w:rFonts w:eastAsia="MS Mincho" w:hint="eastAsia"/>
          <w:lang w:val="en-GB" w:eastAsia="ja-JP"/>
        </w:rPr>
        <w:t>T</w:t>
      </w:r>
      <w:r>
        <w:rPr>
          <w:rFonts w:eastAsia="MS Mincho"/>
          <w:lang w:val="en-GB" w:eastAsia="ja-JP"/>
        </w:rPr>
        <w:t xml:space="preserve">he root problem making it difficult to handle the cases is </w:t>
      </w:r>
      <w:r w:rsidR="00700C9A">
        <w:rPr>
          <w:rFonts w:eastAsia="MS Mincho"/>
          <w:lang w:val="en-GB" w:eastAsia="ja-JP"/>
        </w:rPr>
        <w:t xml:space="preserve">that the UL HARQ is synchronous. Therefore, asynchronous UL HARQ should be adopted for these cases. A UL grant includes the HARQ process ID field and indicates </w:t>
      </w:r>
      <w:r w:rsidR="00D426AA">
        <w:rPr>
          <w:rFonts w:eastAsia="MS Mincho"/>
          <w:lang w:val="en-GB" w:eastAsia="ja-JP"/>
        </w:rPr>
        <w:t xml:space="preserve">an ID </w:t>
      </w:r>
      <w:r w:rsidR="00700C9A">
        <w:rPr>
          <w:rFonts w:eastAsia="MS Mincho"/>
          <w:lang w:val="en-GB" w:eastAsia="ja-JP"/>
        </w:rPr>
        <w:t xml:space="preserve">for </w:t>
      </w:r>
      <w:r w:rsidR="00D426AA">
        <w:rPr>
          <w:rFonts w:eastAsia="MS Mincho"/>
          <w:lang w:val="en-GB" w:eastAsia="ja-JP"/>
        </w:rPr>
        <w:t>the scheduled PUSCH</w:t>
      </w:r>
      <w:r w:rsidR="00AD3839">
        <w:rPr>
          <w:rFonts w:eastAsia="MS Mincho"/>
          <w:lang w:val="en-GB" w:eastAsia="ja-JP"/>
        </w:rPr>
        <w:t xml:space="preserve"> so that the timing and </w:t>
      </w:r>
      <w:r w:rsidR="00F2169A">
        <w:rPr>
          <w:rFonts w:eastAsia="MS Mincho"/>
          <w:lang w:val="en-GB" w:eastAsia="ja-JP"/>
        </w:rPr>
        <w:t>HARQ process ID are decoupled</w:t>
      </w:r>
      <w:r w:rsidR="00700C9A">
        <w:rPr>
          <w:rFonts w:eastAsia="MS Mincho"/>
          <w:lang w:val="en-GB" w:eastAsia="ja-JP"/>
        </w:rPr>
        <w:t>.</w:t>
      </w:r>
      <w:r w:rsidR="00F2169A">
        <w:rPr>
          <w:rFonts w:eastAsia="MS Mincho"/>
          <w:lang w:val="en-GB" w:eastAsia="ja-JP"/>
        </w:rPr>
        <w:t xml:space="preserve"> Such async UL HARQ has already been supported for </w:t>
      </w:r>
      <w:proofErr w:type="spellStart"/>
      <w:r w:rsidR="00F2169A">
        <w:rPr>
          <w:rFonts w:eastAsia="MS Mincho"/>
          <w:lang w:val="en-GB" w:eastAsia="ja-JP"/>
        </w:rPr>
        <w:t>sTTI</w:t>
      </w:r>
      <w:proofErr w:type="spellEnd"/>
      <w:r w:rsidR="00F2169A">
        <w:rPr>
          <w:rFonts w:eastAsia="MS Mincho"/>
          <w:lang w:val="en-GB" w:eastAsia="ja-JP"/>
        </w:rPr>
        <w:t xml:space="preserve"> and </w:t>
      </w:r>
      <w:proofErr w:type="spellStart"/>
      <w:r w:rsidR="00F2169A">
        <w:rPr>
          <w:rFonts w:eastAsia="MS Mincho"/>
          <w:lang w:val="en-GB" w:eastAsia="ja-JP"/>
        </w:rPr>
        <w:t>eLAA</w:t>
      </w:r>
      <w:proofErr w:type="spellEnd"/>
      <w:r w:rsidR="00F2169A">
        <w:rPr>
          <w:rFonts w:eastAsia="MS Mincho"/>
          <w:lang w:val="en-GB" w:eastAsia="ja-JP"/>
        </w:rPr>
        <w:t xml:space="preserve"> in LTE.</w:t>
      </w:r>
    </w:p>
    <w:p w14:paraId="71735156" w14:textId="3A2F4082" w:rsidR="00F2169A" w:rsidRDefault="00F2169A" w:rsidP="00BF4A68">
      <w:pPr>
        <w:jc w:val="both"/>
        <w:rPr>
          <w:rFonts w:eastAsia="MS Mincho"/>
          <w:lang w:val="en-GB" w:eastAsia="ja-JP"/>
        </w:rPr>
      </w:pPr>
      <w:r>
        <w:rPr>
          <w:rFonts w:eastAsia="MS Mincho" w:hint="eastAsia"/>
          <w:lang w:val="en-GB" w:eastAsia="ja-JP"/>
        </w:rPr>
        <w:t>S</w:t>
      </w:r>
      <w:r>
        <w:rPr>
          <w:rFonts w:eastAsia="MS Mincho"/>
          <w:lang w:val="en-GB" w:eastAsia="ja-JP"/>
        </w:rPr>
        <w:t xml:space="preserve">ince async UL HARQ is different solution from what was already agreed for UL-DL configuration #1-#5, this should be an optional UE feature. </w:t>
      </w:r>
    </w:p>
    <w:p w14:paraId="78CB0F6A" w14:textId="101EACDC" w:rsidR="00B64AD4" w:rsidRPr="00BF2ACE" w:rsidRDefault="00F2169A" w:rsidP="00BF4A68">
      <w:pPr>
        <w:jc w:val="both"/>
        <w:rPr>
          <w:lang w:val="en-GB" w:eastAsia="x-none"/>
        </w:rPr>
      </w:pPr>
      <w:r w:rsidRPr="00BF2ACE">
        <w:rPr>
          <w:rFonts w:eastAsia="MS Mincho"/>
          <w:b/>
          <w:lang w:val="en-GB" w:eastAsia="ja-JP"/>
        </w:rPr>
        <w:t xml:space="preserve">Proposal 8: </w:t>
      </w:r>
      <w:r w:rsidR="00700C9A" w:rsidRPr="00BF2ACE">
        <w:rPr>
          <w:rFonts w:eastAsia="MS Mincho"/>
          <w:b/>
          <w:lang w:val="en-GB" w:eastAsia="ja-JP"/>
        </w:rPr>
        <w:t xml:space="preserve"> </w:t>
      </w:r>
      <w:r w:rsidRPr="00BF2ACE">
        <w:rPr>
          <w:rFonts w:eastAsia="MS Mincho"/>
          <w:b/>
          <w:lang w:val="en-GB" w:eastAsia="ja-JP"/>
        </w:rPr>
        <w:t>Support asynchronous UL HARQ for the case where TDD-</w:t>
      </w:r>
      <w:proofErr w:type="spellStart"/>
      <w:r w:rsidRPr="00BF2ACE">
        <w:rPr>
          <w:rFonts w:eastAsia="MS Mincho"/>
          <w:b/>
          <w:lang w:val="en-GB" w:eastAsia="ja-JP"/>
        </w:rPr>
        <w:t>PCell</w:t>
      </w:r>
      <w:proofErr w:type="spellEnd"/>
      <w:r w:rsidRPr="00BF2ACE">
        <w:rPr>
          <w:rFonts w:eastAsia="MS Mincho"/>
          <w:b/>
          <w:lang w:val="en-GB" w:eastAsia="ja-JP"/>
        </w:rPr>
        <w:t xml:space="preserve"> UL-DL configuration #0 or #6 for single </w:t>
      </w:r>
      <w:proofErr w:type="spellStart"/>
      <w:r w:rsidRPr="00BF2ACE">
        <w:rPr>
          <w:rFonts w:eastAsia="MS Mincho"/>
          <w:b/>
          <w:lang w:val="en-GB" w:eastAsia="ja-JP"/>
        </w:rPr>
        <w:t>tx</w:t>
      </w:r>
      <w:proofErr w:type="spellEnd"/>
      <w:r w:rsidRPr="00BF2ACE">
        <w:rPr>
          <w:rFonts w:eastAsia="MS Mincho"/>
          <w:b/>
          <w:lang w:val="en-GB" w:eastAsia="ja-JP"/>
        </w:rPr>
        <w:t xml:space="preserve"> switched UL in EN-DC with TDD-</w:t>
      </w:r>
      <w:proofErr w:type="spellStart"/>
      <w:r w:rsidRPr="00BF2ACE">
        <w:rPr>
          <w:rFonts w:eastAsia="MS Mincho"/>
          <w:b/>
          <w:lang w:val="en-GB" w:eastAsia="ja-JP"/>
        </w:rPr>
        <w:t>PCell</w:t>
      </w:r>
      <w:proofErr w:type="spellEnd"/>
      <w:r w:rsidRPr="00BF2ACE">
        <w:rPr>
          <w:rFonts w:eastAsia="MS Mincho"/>
          <w:b/>
          <w:lang w:val="en-GB" w:eastAsia="ja-JP"/>
        </w:rPr>
        <w:t xml:space="preserve"> as an optional feature.</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40E5DD15" w14:textId="2815383A" w:rsidR="005A0585" w:rsidRDefault="005A0585" w:rsidP="005A0585">
      <w:pPr>
        <w:jc w:val="both"/>
        <w:rPr>
          <w:b/>
        </w:rPr>
      </w:pPr>
      <w:r w:rsidRPr="00DE1A9E">
        <w:rPr>
          <w:b/>
        </w:rPr>
        <w:t>Proposal 1: For single tx switched UL in EN-DC with TDD P</w:t>
      </w:r>
      <w:r>
        <w:rPr>
          <w:b/>
        </w:rPr>
        <w:t>c</w:t>
      </w:r>
      <w:r w:rsidRPr="00DE1A9E">
        <w:rPr>
          <w:b/>
        </w:rPr>
        <w:t>ell</w:t>
      </w:r>
      <w:r>
        <w:rPr>
          <w:b/>
        </w:rPr>
        <w:t>,</w:t>
      </w:r>
      <w:r w:rsidRPr="0061730B">
        <w:rPr>
          <w:b/>
        </w:rPr>
        <w:t xml:space="preserve"> </w:t>
      </w:r>
      <w:r>
        <w:rPr>
          <w:b/>
        </w:rPr>
        <w:t>t</w:t>
      </w:r>
      <w:r w:rsidRPr="00DE1A9E">
        <w:rPr>
          <w:b/>
        </w:rPr>
        <w:t xml:space="preserve">he </w:t>
      </w:r>
      <w:r>
        <w:rPr>
          <w:b/>
        </w:rPr>
        <w:t xml:space="preserve">type 1 </w:t>
      </w:r>
      <w:r w:rsidRPr="00DE1A9E">
        <w:rPr>
          <w:b/>
        </w:rPr>
        <w:t xml:space="preserve">UE should consider LTE and NR uplink collisions </w:t>
      </w:r>
      <w:r>
        <w:rPr>
          <w:b/>
        </w:rPr>
        <w:t xml:space="preserve">an </w:t>
      </w:r>
      <w:r w:rsidRPr="00DE1A9E">
        <w:rPr>
          <w:b/>
        </w:rPr>
        <w:t xml:space="preserve">error case. </w:t>
      </w:r>
    </w:p>
    <w:p w14:paraId="40A37ADB" w14:textId="03DA1A97" w:rsidR="008D6F52" w:rsidRDefault="008D6F52" w:rsidP="008D6F52">
      <w:pPr>
        <w:jc w:val="both"/>
        <w:rPr>
          <w:b/>
        </w:rPr>
      </w:pPr>
      <w:r w:rsidRPr="00DE1A9E">
        <w:rPr>
          <w:b/>
        </w:rPr>
        <w:t xml:space="preserve">Proposal </w:t>
      </w:r>
      <w:r>
        <w:rPr>
          <w:b/>
        </w:rPr>
        <w:t>2</w:t>
      </w:r>
      <w:r w:rsidRPr="00DE1A9E">
        <w:rPr>
          <w:b/>
        </w:rPr>
        <w:t xml:space="preserve">: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Pr>
          <w:b/>
        </w:rPr>
        <w:t>:</w:t>
      </w:r>
    </w:p>
    <w:p w14:paraId="5AACFDD9" w14:textId="25450EA9" w:rsidR="008D6F52" w:rsidRDefault="008D6F52" w:rsidP="008D6F52">
      <w:pPr>
        <w:pStyle w:val="ListParagraph"/>
        <w:numPr>
          <w:ilvl w:val="0"/>
          <w:numId w:val="13"/>
        </w:numPr>
        <w:jc w:val="both"/>
        <w:rPr>
          <w:rFonts w:ascii="Times" w:hAnsi="Times" w:cs="Times"/>
          <w:b/>
          <w:sz w:val="20"/>
        </w:rPr>
      </w:pPr>
      <w:r>
        <w:rPr>
          <w:rFonts w:ascii="Times" w:hAnsi="Times" w:cs="Times"/>
          <w:b/>
          <w:sz w:val="20"/>
        </w:rPr>
        <w:t>For type 2 UE (i.e., UE without dynamic power sharing capability), not only LTE PUSCH, but also any LTE UL transmissions should take place only in UL subframes designated as UL in the DL-reference UL-DL configuration.</w:t>
      </w:r>
    </w:p>
    <w:p w14:paraId="399342F4" w14:textId="62856112" w:rsidR="008D6F52" w:rsidRDefault="008D6F52" w:rsidP="008D6F52">
      <w:pPr>
        <w:pStyle w:val="ListParagraph"/>
        <w:numPr>
          <w:ilvl w:val="0"/>
          <w:numId w:val="13"/>
        </w:numPr>
        <w:jc w:val="both"/>
        <w:rPr>
          <w:rFonts w:ascii="Times" w:hAnsi="Times" w:cs="Times"/>
          <w:b/>
          <w:sz w:val="20"/>
        </w:rPr>
      </w:pPr>
      <w:r>
        <w:rPr>
          <w:rFonts w:ascii="Times" w:hAnsi="Times" w:cs="Times"/>
          <w:b/>
          <w:sz w:val="20"/>
        </w:rPr>
        <w:t xml:space="preserve">For type 1 UE </w:t>
      </w:r>
      <w:r>
        <w:rPr>
          <w:rFonts w:ascii="Times" w:hAnsi="Times" w:cs="Times"/>
          <w:b/>
          <w:sz w:val="20"/>
        </w:rPr>
        <w:t>(i.e., UE with dynamic power sharing capability) not only LTE PUSCH but also other LTE UL transmissions scheduled/tri</w:t>
      </w:r>
      <w:bookmarkStart w:id="2" w:name="_GoBack"/>
      <w:bookmarkEnd w:id="2"/>
      <w:r>
        <w:rPr>
          <w:rFonts w:ascii="Times" w:hAnsi="Times" w:cs="Times"/>
          <w:b/>
          <w:sz w:val="20"/>
        </w:rPr>
        <w:t>ggered by DCI can take place in UL subframes not designated as UL in the DL-reference UL-DL configuration.</w:t>
      </w:r>
    </w:p>
    <w:p w14:paraId="617C4B4D" w14:textId="73A55FF7" w:rsidR="008D6F52" w:rsidRPr="00BF2ACE" w:rsidRDefault="008D6F52" w:rsidP="008D6F52">
      <w:pPr>
        <w:pStyle w:val="ListParagraph"/>
        <w:numPr>
          <w:ilvl w:val="0"/>
          <w:numId w:val="13"/>
        </w:numPr>
        <w:jc w:val="both"/>
        <w:rPr>
          <w:rFonts w:ascii="Times" w:hAnsi="Times" w:cs="Times"/>
          <w:b/>
          <w:sz w:val="20"/>
        </w:rPr>
      </w:pPr>
      <w:r>
        <w:rPr>
          <w:rFonts w:ascii="Times" w:eastAsia="MS Mincho" w:hAnsi="Times" w:cs="Times" w:hint="eastAsia"/>
          <w:b/>
          <w:sz w:val="20"/>
          <w:lang w:eastAsia="ja-JP"/>
        </w:rPr>
        <w:t>F</w:t>
      </w:r>
      <w:r>
        <w:rPr>
          <w:rFonts w:ascii="Times" w:eastAsia="MS Mincho" w:hAnsi="Times" w:cs="Times"/>
          <w:b/>
          <w:sz w:val="20"/>
          <w:lang w:eastAsia="ja-JP"/>
        </w:rPr>
        <w:t>or type 1 UE (i.e., UE with dynamic power sharing capability):</w:t>
      </w:r>
    </w:p>
    <w:p w14:paraId="7861BFCE" w14:textId="2A5F7208" w:rsidR="008D6F52" w:rsidRPr="00303896" w:rsidRDefault="008D6F52" w:rsidP="008D6F52">
      <w:pPr>
        <w:pStyle w:val="ListParagraph"/>
        <w:numPr>
          <w:ilvl w:val="1"/>
          <w:numId w:val="13"/>
        </w:numPr>
        <w:jc w:val="both"/>
        <w:rPr>
          <w:rFonts w:ascii="Times" w:hAnsi="Times" w:cs="Times"/>
          <w:b/>
          <w:sz w:val="20"/>
        </w:rPr>
      </w:pPr>
      <w:r w:rsidRPr="00303896">
        <w:rPr>
          <w:rFonts w:ascii="Times" w:hAnsi="Times" w:cs="Times"/>
          <w:b/>
          <w:sz w:val="20"/>
        </w:rPr>
        <w:t xml:space="preserve">Semi-statically configured LTE UL transmissions are not transmitted in UL subframes not designated as UL in the DL-reference UL-DL configuration. </w:t>
      </w:r>
      <w:r>
        <w:rPr>
          <w:rFonts w:ascii="Times" w:hAnsi="Times" w:cs="Times"/>
          <w:b/>
          <w:sz w:val="20"/>
        </w:rPr>
        <w:t>In these UL subframes, t</w:t>
      </w:r>
      <w:r w:rsidRPr="00303896">
        <w:rPr>
          <w:rFonts w:ascii="Times" w:hAnsi="Times" w:cs="Times"/>
          <w:b/>
          <w:sz w:val="20"/>
        </w:rPr>
        <w:t>he collision between LTE and NR transmissions is treated as an error case.</w:t>
      </w:r>
    </w:p>
    <w:p w14:paraId="011B27B9" w14:textId="77777777" w:rsidR="0067321B" w:rsidRDefault="0067321B" w:rsidP="000F3261">
      <w:pPr>
        <w:jc w:val="both"/>
        <w:rPr>
          <w:b/>
        </w:rPr>
      </w:pPr>
    </w:p>
    <w:p w14:paraId="2D2FDFF0" w14:textId="74D1D363" w:rsidR="0067321B" w:rsidRDefault="0067321B" w:rsidP="000F3261">
      <w:pPr>
        <w:jc w:val="both"/>
        <w:rPr>
          <w:b/>
          <w:lang w:eastAsia="zh-CN"/>
        </w:rPr>
      </w:pPr>
      <w:r>
        <w:rPr>
          <w:b/>
        </w:rPr>
        <w:t>Proposal 3: In Rel.16, f</w:t>
      </w:r>
      <w:r w:rsidRPr="009421C2">
        <w:rPr>
          <w:b/>
        </w:rPr>
        <w:t xml:space="preserve">or single </w:t>
      </w:r>
      <w:proofErr w:type="spellStart"/>
      <w:r w:rsidRPr="009421C2">
        <w:rPr>
          <w:b/>
        </w:rPr>
        <w:t>tx</w:t>
      </w:r>
      <w:proofErr w:type="spellEnd"/>
      <w:r w:rsidRPr="009421C2">
        <w:rPr>
          <w:b/>
        </w:rPr>
        <w:t xml:space="preserve"> switched UL in EN-DC with </w:t>
      </w:r>
      <w:r>
        <w:rPr>
          <w:b/>
        </w:rPr>
        <w:t>F</w:t>
      </w:r>
      <w:r w:rsidRPr="009421C2">
        <w:rPr>
          <w:b/>
        </w:rPr>
        <w:t xml:space="preserve">DD </w:t>
      </w:r>
      <w:proofErr w:type="spellStart"/>
      <w:r w:rsidRPr="009421C2">
        <w:rPr>
          <w:b/>
        </w:rPr>
        <w:t>P</w:t>
      </w:r>
      <w:r>
        <w:rPr>
          <w:b/>
        </w:rPr>
        <w:t>c</w:t>
      </w:r>
      <w:r w:rsidRPr="009421C2">
        <w:rPr>
          <w:b/>
        </w:rPr>
        <w:t>ell</w:t>
      </w:r>
      <w:proofErr w:type="spellEnd"/>
      <w:r>
        <w:rPr>
          <w:b/>
        </w:rPr>
        <w:t>, the specification should enable type 1 UE to transmit</w:t>
      </w:r>
      <w:r w:rsidRPr="00DE1A9E">
        <w:rPr>
          <w:b/>
          <w:lang w:eastAsia="zh-CN"/>
        </w:rPr>
        <w:t xml:space="preserve"> LTE PUSCH in the UL subframes </w:t>
      </w:r>
      <w:r>
        <w:rPr>
          <w:b/>
          <w:lang w:eastAsia="zh-CN"/>
        </w:rPr>
        <w:t xml:space="preserve">other than the offset-UL subframes determined by </w:t>
      </w:r>
      <w:r w:rsidRPr="008C2627">
        <w:rPr>
          <w:b/>
          <w:i/>
          <w:lang w:eastAsia="zh-CN"/>
        </w:rPr>
        <w:t>subframeAssignment-r15</w:t>
      </w:r>
      <w:r>
        <w:rPr>
          <w:b/>
          <w:lang w:eastAsia="zh-CN"/>
        </w:rPr>
        <w:t xml:space="preserve"> and </w:t>
      </w:r>
      <w:r w:rsidRPr="008C2627">
        <w:rPr>
          <w:b/>
          <w:i/>
          <w:lang w:eastAsia="zh-CN"/>
        </w:rPr>
        <w:t>harq-Offset-r15</w:t>
      </w:r>
      <w:r>
        <w:rPr>
          <w:b/>
          <w:lang w:eastAsia="zh-CN"/>
        </w:rPr>
        <w:t>.</w:t>
      </w:r>
    </w:p>
    <w:p w14:paraId="048070F2" w14:textId="371B3660" w:rsidR="000F3261" w:rsidRDefault="000F3261" w:rsidP="000F3261">
      <w:pPr>
        <w:jc w:val="both"/>
        <w:rPr>
          <w:b/>
        </w:rPr>
      </w:pPr>
      <w:r w:rsidRPr="00DE1A9E">
        <w:rPr>
          <w:b/>
        </w:rPr>
        <w:t xml:space="preserve">Proposal </w:t>
      </w:r>
      <w:r>
        <w:rPr>
          <w:b/>
        </w:rPr>
        <w:t>4</w:t>
      </w:r>
      <w:r w:rsidRPr="00DE1A9E">
        <w:rPr>
          <w:b/>
        </w:rPr>
        <w:t xml:space="preserve">: The HARQ offset should be configured for the users in case of EN-DC with TDD </w:t>
      </w:r>
      <w:proofErr w:type="spellStart"/>
      <w:r w:rsidRPr="00DE1A9E">
        <w:rPr>
          <w:b/>
        </w:rPr>
        <w:t>Pcell</w:t>
      </w:r>
      <w:proofErr w:type="spellEnd"/>
      <w:r w:rsidRPr="00DE1A9E">
        <w:rPr>
          <w:b/>
        </w:rPr>
        <w:t>.</w:t>
      </w:r>
      <w:r>
        <w:rPr>
          <w:b/>
        </w:rPr>
        <w:t xml:space="preserve"> The exact values and their applicability to different TDD DL/UL configurations should further be discussed. </w:t>
      </w:r>
    </w:p>
    <w:p w14:paraId="7D7E20FF" w14:textId="2A01E162" w:rsidR="00881A40" w:rsidRPr="00881A40" w:rsidRDefault="000F3261" w:rsidP="00881A40">
      <w:pPr>
        <w:jc w:val="both"/>
        <w:rPr>
          <w:b/>
        </w:rPr>
      </w:pPr>
      <w:r w:rsidRPr="00FF2F30">
        <w:rPr>
          <w:b/>
        </w:rPr>
        <w:t>Pro</w:t>
      </w:r>
      <w:r>
        <w:rPr>
          <w:b/>
        </w:rPr>
        <w:t>posal 5</w:t>
      </w:r>
      <w:r w:rsidRPr="00FF2F30">
        <w:rPr>
          <w:b/>
        </w:rPr>
        <w:t xml:space="preserve">: For a UE configured with EN-DC and more than one </w:t>
      </w:r>
      <w:r>
        <w:rPr>
          <w:b/>
        </w:rPr>
        <w:t xml:space="preserve">DL </w:t>
      </w:r>
      <w:r w:rsidRPr="00FF2F30">
        <w:rPr>
          <w:b/>
        </w:rPr>
        <w:t>LTE serving cell</w:t>
      </w:r>
      <w:r>
        <w:rPr>
          <w:b/>
        </w:rPr>
        <w:t xml:space="preserve">, and for a </w:t>
      </w:r>
      <w:r w:rsidRPr="00FF2F30">
        <w:rPr>
          <w:b/>
        </w:rPr>
        <w:t>TDD secondary cell</w:t>
      </w:r>
      <w:r>
        <w:rPr>
          <w:b/>
        </w:rPr>
        <w:t xml:space="preserve"> with different SIB1 UL/DL configuration compared to the TDD </w:t>
      </w:r>
      <w:proofErr w:type="spellStart"/>
      <w:r>
        <w:rPr>
          <w:b/>
        </w:rPr>
        <w:t>Pcell</w:t>
      </w:r>
      <w:proofErr w:type="spellEnd"/>
      <w:r>
        <w:rPr>
          <w:b/>
        </w:rPr>
        <w:t xml:space="preserve"> reference HARQ configuration, t</w:t>
      </w:r>
      <w:r w:rsidRPr="00881A40">
        <w:rPr>
          <w:b/>
        </w:rPr>
        <w:t xml:space="preserve">he downlink HARQ timing reference configuration is given by the pair of its own SIB1 DL/UL configuration and the reference DL HARQ configuration of the </w:t>
      </w:r>
      <w:proofErr w:type="spellStart"/>
      <w:r w:rsidRPr="00881A40">
        <w:rPr>
          <w:b/>
        </w:rPr>
        <w:t>Pcell</w:t>
      </w:r>
      <w:proofErr w:type="spellEnd"/>
      <w:r w:rsidRPr="00881A40">
        <w:rPr>
          <w:b/>
        </w:rPr>
        <w:t xml:space="preserve"> similar to the LTE TDD-TDD CA with different DL/UL configurations.  </w:t>
      </w:r>
    </w:p>
    <w:p w14:paraId="0D8BD035" w14:textId="253044A5" w:rsidR="00881A40" w:rsidRPr="00881A40" w:rsidRDefault="000F3261" w:rsidP="00881A40">
      <w:pPr>
        <w:jc w:val="both"/>
        <w:rPr>
          <w:b/>
          <w:lang w:eastAsia="x-none"/>
        </w:rPr>
      </w:pPr>
      <w:r w:rsidRPr="00881A40">
        <w:rPr>
          <w:b/>
          <w:lang w:eastAsia="x-none"/>
        </w:rPr>
        <w:t xml:space="preserve">Proposal </w:t>
      </w:r>
      <w:r>
        <w:rPr>
          <w:b/>
          <w:lang w:eastAsia="x-none"/>
        </w:rPr>
        <w:t>6</w:t>
      </w:r>
      <w:r w:rsidRPr="00881A40">
        <w:rPr>
          <w:b/>
          <w:lang w:eastAsia="x-none"/>
        </w:rPr>
        <w:t>: For EN-DC with TDD-</w:t>
      </w:r>
      <w:proofErr w:type="spellStart"/>
      <w:r w:rsidRPr="00881A40">
        <w:rPr>
          <w:b/>
          <w:lang w:eastAsia="x-none"/>
        </w:rPr>
        <w:t>Pcell</w:t>
      </w:r>
      <w:proofErr w:type="spellEnd"/>
      <w:r w:rsidRPr="00881A40">
        <w:rPr>
          <w:b/>
          <w:lang w:eastAsia="x-none"/>
        </w:rPr>
        <w:t>, only PUCCH formats 3/4/5 without the fallback operation are supported.</w:t>
      </w:r>
    </w:p>
    <w:p w14:paraId="67F1AC22" w14:textId="77777777" w:rsidR="000F3261" w:rsidRPr="00BF2ACE" w:rsidRDefault="000F3261" w:rsidP="000F3261">
      <w:pPr>
        <w:jc w:val="both"/>
        <w:rPr>
          <w:rFonts w:eastAsia="MS Mincho"/>
          <w:b/>
          <w:lang w:eastAsia="ja-JP"/>
        </w:rPr>
      </w:pPr>
      <w:r w:rsidRPr="00BF2ACE">
        <w:rPr>
          <w:rFonts w:eastAsia="MS Mincho"/>
          <w:b/>
          <w:lang w:eastAsia="ja-JP"/>
        </w:rPr>
        <w:t>Proposal 7: Support an optional RRC parameter which configures a PUCCH resource when there is only one HARQ-ACK for DAI=1 or for SPS PDSCH to be transmitted; if the parameter is absent, when there is only one HARQ-ACK for DAI=1 or for SPS PDSCH, the UE transmits the HARQ-ACK on the PUCCH resource associated with ARI=0.</w:t>
      </w:r>
    </w:p>
    <w:p w14:paraId="0D51735E" w14:textId="77777777" w:rsidR="000F3261" w:rsidRPr="00BF2ACE" w:rsidRDefault="000F3261" w:rsidP="000F3261">
      <w:pPr>
        <w:rPr>
          <w:rFonts w:eastAsia="MS Mincho"/>
          <w:b/>
          <w:lang w:val="en-GB" w:eastAsia="ja-JP"/>
        </w:rPr>
      </w:pPr>
      <w:r w:rsidRPr="00BF2ACE">
        <w:rPr>
          <w:rFonts w:eastAsia="MS Mincho"/>
          <w:b/>
          <w:lang w:val="en-GB" w:eastAsia="ja-JP"/>
        </w:rPr>
        <w:t>Proposal 8:  Support asynchronous UL HARQ for the case where TDD-</w:t>
      </w:r>
      <w:proofErr w:type="spellStart"/>
      <w:r w:rsidRPr="00BF2ACE">
        <w:rPr>
          <w:rFonts w:eastAsia="MS Mincho"/>
          <w:b/>
          <w:lang w:val="en-GB" w:eastAsia="ja-JP"/>
        </w:rPr>
        <w:t>PCell</w:t>
      </w:r>
      <w:proofErr w:type="spellEnd"/>
      <w:r w:rsidRPr="00BF2ACE">
        <w:rPr>
          <w:rFonts w:eastAsia="MS Mincho"/>
          <w:b/>
          <w:lang w:val="en-GB" w:eastAsia="ja-JP"/>
        </w:rPr>
        <w:t xml:space="preserve"> UL-DL configuration #0 or #6 for single </w:t>
      </w:r>
      <w:proofErr w:type="spellStart"/>
      <w:r w:rsidRPr="00BF2ACE">
        <w:rPr>
          <w:rFonts w:eastAsia="MS Mincho"/>
          <w:b/>
          <w:lang w:val="en-GB" w:eastAsia="ja-JP"/>
        </w:rPr>
        <w:t>tx</w:t>
      </w:r>
      <w:proofErr w:type="spellEnd"/>
      <w:r w:rsidRPr="00BF2ACE">
        <w:rPr>
          <w:rFonts w:eastAsia="MS Mincho"/>
          <w:b/>
          <w:lang w:val="en-GB" w:eastAsia="ja-JP"/>
        </w:rPr>
        <w:t xml:space="preserve"> switched UL in EN-DC with TDD-</w:t>
      </w:r>
      <w:proofErr w:type="spellStart"/>
      <w:r w:rsidRPr="00BF2ACE">
        <w:rPr>
          <w:rFonts w:eastAsia="MS Mincho"/>
          <w:b/>
          <w:lang w:val="en-GB" w:eastAsia="ja-JP"/>
        </w:rPr>
        <w:t>PCell</w:t>
      </w:r>
      <w:proofErr w:type="spellEnd"/>
      <w:r w:rsidRPr="00BF2ACE">
        <w:rPr>
          <w:rFonts w:eastAsia="MS Mincho"/>
          <w:b/>
          <w:lang w:val="en-GB" w:eastAsia="ja-JP"/>
        </w:rPr>
        <w:t xml:space="preserve"> as an optional feature.</w:t>
      </w:r>
    </w:p>
    <w:p w14:paraId="19859383" w14:textId="05FE287D" w:rsidR="00DA24FA" w:rsidRPr="007C5EB9" w:rsidRDefault="00DA24FA" w:rsidP="000C7BB0">
      <w:pPr>
        <w:pStyle w:val="Caption"/>
        <w:rPr>
          <w:sz w:val="22"/>
          <w:szCs w:val="22"/>
        </w:rPr>
      </w:pPr>
      <w:bookmarkStart w:id="3" w:name="_Ref450583331"/>
      <w:bookmarkEnd w:id="3"/>
    </w:p>
    <w:sectPr w:rsidR="00DA24FA" w:rsidRPr="007C5EB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6AB86" w14:textId="77777777" w:rsidR="00E279C3" w:rsidRDefault="00E279C3">
      <w:r>
        <w:separator/>
      </w:r>
    </w:p>
  </w:endnote>
  <w:endnote w:type="continuationSeparator" w:id="0">
    <w:p w14:paraId="0EADD521" w14:textId="77777777" w:rsidR="00E279C3" w:rsidRDefault="00E279C3">
      <w:r>
        <w:continuationSeparator/>
      </w:r>
    </w:p>
  </w:endnote>
  <w:endnote w:type="continuationNotice" w:id="1">
    <w:p w14:paraId="5669B8E9" w14:textId="77777777" w:rsidR="00E279C3" w:rsidRDefault="00E27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CA0B9" w14:textId="77777777" w:rsidR="00E279C3" w:rsidRDefault="00E279C3">
      <w:r>
        <w:separator/>
      </w:r>
    </w:p>
  </w:footnote>
  <w:footnote w:type="continuationSeparator" w:id="0">
    <w:p w14:paraId="55917537" w14:textId="77777777" w:rsidR="00E279C3" w:rsidRDefault="00E279C3">
      <w:r>
        <w:continuationSeparator/>
      </w:r>
    </w:p>
  </w:footnote>
  <w:footnote w:type="continuationNotice" w:id="1">
    <w:p w14:paraId="71EC556A" w14:textId="77777777" w:rsidR="00E279C3" w:rsidRDefault="00E279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7772CE"/>
    <w:multiLevelType w:val="hybridMultilevel"/>
    <w:tmpl w:val="5186EBD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C7E4E9E"/>
    <w:multiLevelType w:val="hybridMultilevel"/>
    <w:tmpl w:val="B1B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D727A"/>
    <w:multiLevelType w:val="hybridMultilevel"/>
    <w:tmpl w:val="91C0E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3AD81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9847D5"/>
    <w:multiLevelType w:val="hybridMultilevel"/>
    <w:tmpl w:val="DB8AC54A"/>
    <w:lvl w:ilvl="0" w:tplc="1B0CED20">
      <w:start w:val="1"/>
      <w:numFmt w:val="bullet"/>
      <w:lvlText w:val=""/>
      <w:lvlJc w:val="left"/>
      <w:pPr>
        <w:tabs>
          <w:tab w:val="num" w:pos="720"/>
        </w:tabs>
        <w:ind w:left="720" w:hanging="360"/>
      </w:pPr>
      <w:rPr>
        <w:rFonts w:ascii="Symbol" w:hAnsi="Symbol" w:hint="default"/>
      </w:rPr>
    </w:lvl>
    <w:lvl w:ilvl="1" w:tplc="8324766C">
      <w:start w:val="217"/>
      <w:numFmt w:val="bullet"/>
      <w:lvlText w:val="−"/>
      <w:lvlJc w:val="left"/>
      <w:pPr>
        <w:tabs>
          <w:tab w:val="num" w:pos="1440"/>
        </w:tabs>
        <w:ind w:left="1440" w:hanging="360"/>
      </w:pPr>
      <w:rPr>
        <w:rFonts w:ascii="Calibre Regular" w:hAnsi="Calibre Regular" w:hint="default"/>
      </w:rPr>
    </w:lvl>
    <w:lvl w:ilvl="2" w:tplc="753E4848">
      <w:start w:val="217"/>
      <w:numFmt w:val="bullet"/>
      <w:lvlText w:val="−"/>
      <w:lvlJc w:val="left"/>
      <w:pPr>
        <w:tabs>
          <w:tab w:val="num" w:pos="2160"/>
        </w:tabs>
        <w:ind w:left="2160" w:hanging="360"/>
      </w:pPr>
      <w:rPr>
        <w:rFonts w:ascii="Calibre Regular" w:hAnsi="Calibre Regular" w:hint="default"/>
      </w:rPr>
    </w:lvl>
    <w:lvl w:ilvl="3" w:tplc="743A44E0">
      <w:start w:val="217"/>
      <w:numFmt w:val="bullet"/>
      <w:lvlText w:val="−"/>
      <w:lvlJc w:val="left"/>
      <w:pPr>
        <w:tabs>
          <w:tab w:val="num" w:pos="2880"/>
        </w:tabs>
        <w:ind w:left="2880" w:hanging="360"/>
      </w:pPr>
      <w:rPr>
        <w:rFonts w:ascii="Calibre Regular" w:hAnsi="Calibre Regular" w:hint="default"/>
      </w:rPr>
    </w:lvl>
    <w:lvl w:ilvl="4" w:tplc="D0BAF1E6" w:tentative="1">
      <w:start w:val="1"/>
      <w:numFmt w:val="bullet"/>
      <w:lvlText w:val=""/>
      <w:lvlJc w:val="left"/>
      <w:pPr>
        <w:tabs>
          <w:tab w:val="num" w:pos="3600"/>
        </w:tabs>
        <w:ind w:left="3600" w:hanging="360"/>
      </w:pPr>
      <w:rPr>
        <w:rFonts w:ascii="Symbol" w:hAnsi="Symbol" w:hint="default"/>
      </w:rPr>
    </w:lvl>
    <w:lvl w:ilvl="5" w:tplc="847858CA" w:tentative="1">
      <w:start w:val="1"/>
      <w:numFmt w:val="bullet"/>
      <w:lvlText w:val=""/>
      <w:lvlJc w:val="left"/>
      <w:pPr>
        <w:tabs>
          <w:tab w:val="num" w:pos="4320"/>
        </w:tabs>
        <w:ind w:left="4320" w:hanging="360"/>
      </w:pPr>
      <w:rPr>
        <w:rFonts w:ascii="Symbol" w:hAnsi="Symbol" w:hint="default"/>
      </w:rPr>
    </w:lvl>
    <w:lvl w:ilvl="6" w:tplc="CA862B02" w:tentative="1">
      <w:start w:val="1"/>
      <w:numFmt w:val="bullet"/>
      <w:lvlText w:val=""/>
      <w:lvlJc w:val="left"/>
      <w:pPr>
        <w:tabs>
          <w:tab w:val="num" w:pos="5040"/>
        </w:tabs>
        <w:ind w:left="5040" w:hanging="360"/>
      </w:pPr>
      <w:rPr>
        <w:rFonts w:ascii="Symbol" w:hAnsi="Symbol" w:hint="default"/>
      </w:rPr>
    </w:lvl>
    <w:lvl w:ilvl="7" w:tplc="7506CA28" w:tentative="1">
      <w:start w:val="1"/>
      <w:numFmt w:val="bullet"/>
      <w:lvlText w:val=""/>
      <w:lvlJc w:val="left"/>
      <w:pPr>
        <w:tabs>
          <w:tab w:val="num" w:pos="5760"/>
        </w:tabs>
        <w:ind w:left="5760" w:hanging="360"/>
      </w:pPr>
      <w:rPr>
        <w:rFonts w:ascii="Symbol" w:hAnsi="Symbol" w:hint="default"/>
      </w:rPr>
    </w:lvl>
    <w:lvl w:ilvl="8" w:tplc="D828216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FC16C79"/>
    <w:multiLevelType w:val="hybridMultilevel"/>
    <w:tmpl w:val="758E599A"/>
    <w:lvl w:ilvl="0" w:tplc="D76A8EB0">
      <w:start w:val="1"/>
      <w:numFmt w:val="bullet"/>
      <w:lvlText w:val=""/>
      <w:lvlJc w:val="left"/>
      <w:pPr>
        <w:tabs>
          <w:tab w:val="num" w:pos="720"/>
        </w:tabs>
        <w:ind w:left="720" w:hanging="360"/>
      </w:pPr>
      <w:rPr>
        <w:rFonts w:ascii="Symbol" w:hAnsi="Symbol" w:hint="default"/>
      </w:rPr>
    </w:lvl>
    <w:lvl w:ilvl="1" w:tplc="961C5EFE">
      <w:start w:val="217"/>
      <w:numFmt w:val="bullet"/>
      <w:lvlText w:val="−"/>
      <w:lvlJc w:val="left"/>
      <w:pPr>
        <w:tabs>
          <w:tab w:val="num" w:pos="1440"/>
        </w:tabs>
        <w:ind w:left="1440" w:hanging="360"/>
      </w:pPr>
      <w:rPr>
        <w:rFonts w:ascii="Calibre Regular" w:hAnsi="Calibre Regular" w:hint="default"/>
      </w:rPr>
    </w:lvl>
    <w:lvl w:ilvl="2" w:tplc="973E90DA">
      <w:start w:val="217"/>
      <w:numFmt w:val="bullet"/>
      <w:lvlText w:val="−"/>
      <w:lvlJc w:val="left"/>
      <w:pPr>
        <w:tabs>
          <w:tab w:val="num" w:pos="2160"/>
        </w:tabs>
        <w:ind w:left="2160" w:hanging="360"/>
      </w:pPr>
      <w:rPr>
        <w:rFonts w:ascii="Calibre Regular" w:hAnsi="Calibre Regular" w:hint="default"/>
      </w:rPr>
    </w:lvl>
    <w:lvl w:ilvl="3" w:tplc="87EAB862" w:tentative="1">
      <w:start w:val="1"/>
      <w:numFmt w:val="bullet"/>
      <w:lvlText w:val=""/>
      <w:lvlJc w:val="left"/>
      <w:pPr>
        <w:tabs>
          <w:tab w:val="num" w:pos="2880"/>
        </w:tabs>
        <w:ind w:left="2880" w:hanging="360"/>
      </w:pPr>
      <w:rPr>
        <w:rFonts w:ascii="Symbol" w:hAnsi="Symbol" w:hint="default"/>
      </w:rPr>
    </w:lvl>
    <w:lvl w:ilvl="4" w:tplc="19ECB500" w:tentative="1">
      <w:start w:val="1"/>
      <w:numFmt w:val="bullet"/>
      <w:lvlText w:val=""/>
      <w:lvlJc w:val="left"/>
      <w:pPr>
        <w:tabs>
          <w:tab w:val="num" w:pos="3600"/>
        </w:tabs>
        <w:ind w:left="3600" w:hanging="360"/>
      </w:pPr>
      <w:rPr>
        <w:rFonts w:ascii="Symbol" w:hAnsi="Symbol" w:hint="default"/>
      </w:rPr>
    </w:lvl>
    <w:lvl w:ilvl="5" w:tplc="659A5188" w:tentative="1">
      <w:start w:val="1"/>
      <w:numFmt w:val="bullet"/>
      <w:lvlText w:val=""/>
      <w:lvlJc w:val="left"/>
      <w:pPr>
        <w:tabs>
          <w:tab w:val="num" w:pos="4320"/>
        </w:tabs>
        <w:ind w:left="4320" w:hanging="360"/>
      </w:pPr>
      <w:rPr>
        <w:rFonts w:ascii="Symbol" w:hAnsi="Symbol" w:hint="default"/>
      </w:rPr>
    </w:lvl>
    <w:lvl w:ilvl="6" w:tplc="3968BCB2" w:tentative="1">
      <w:start w:val="1"/>
      <w:numFmt w:val="bullet"/>
      <w:lvlText w:val=""/>
      <w:lvlJc w:val="left"/>
      <w:pPr>
        <w:tabs>
          <w:tab w:val="num" w:pos="5040"/>
        </w:tabs>
        <w:ind w:left="5040" w:hanging="360"/>
      </w:pPr>
      <w:rPr>
        <w:rFonts w:ascii="Symbol" w:hAnsi="Symbol" w:hint="default"/>
      </w:rPr>
    </w:lvl>
    <w:lvl w:ilvl="7" w:tplc="6C5ECBE6" w:tentative="1">
      <w:start w:val="1"/>
      <w:numFmt w:val="bullet"/>
      <w:lvlText w:val=""/>
      <w:lvlJc w:val="left"/>
      <w:pPr>
        <w:tabs>
          <w:tab w:val="num" w:pos="5760"/>
        </w:tabs>
        <w:ind w:left="5760" w:hanging="360"/>
      </w:pPr>
      <w:rPr>
        <w:rFonts w:ascii="Symbol" w:hAnsi="Symbol" w:hint="default"/>
      </w:rPr>
    </w:lvl>
    <w:lvl w:ilvl="8" w:tplc="E8C67A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78019B"/>
    <w:multiLevelType w:val="hybridMultilevel"/>
    <w:tmpl w:val="7318C6A2"/>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lvlOverride w:ilvl="0">
      <w:startOverride w:val="1"/>
    </w:lvlOverride>
  </w:num>
  <w:num w:numId="4">
    <w:abstractNumId w:val="8"/>
  </w:num>
  <w:num w:numId="5">
    <w:abstractNumId w:val="2"/>
  </w:num>
  <w:num w:numId="6">
    <w:abstractNumId w:val="14"/>
  </w:num>
  <w:num w:numId="7">
    <w:abstractNumId w:val="3"/>
  </w:num>
  <w:num w:numId="8">
    <w:abstractNumId w:val="6"/>
  </w:num>
  <w:num w:numId="9">
    <w:abstractNumId w:val="11"/>
  </w:num>
  <w:num w:numId="10">
    <w:abstractNumId w:val="9"/>
  </w:num>
  <w:num w:numId="11">
    <w:abstractNumId w:val="10"/>
  </w:num>
  <w:num w:numId="12">
    <w:abstractNumId w:val="13"/>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41C"/>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66"/>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3A2E"/>
    <w:rsid w:val="0003429E"/>
    <w:rsid w:val="00034408"/>
    <w:rsid w:val="000344A6"/>
    <w:rsid w:val="00034882"/>
    <w:rsid w:val="000349B7"/>
    <w:rsid w:val="0003540B"/>
    <w:rsid w:val="00035574"/>
    <w:rsid w:val="00036167"/>
    <w:rsid w:val="00036199"/>
    <w:rsid w:val="000365A2"/>
    <w:rsid w:val="0003698E"/>
    <w:rsid w:val="00036B45"/>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34"/>
    <w:rsid w:val="00076547"/>
    <w:rsid w:val="00076608"/>
    <w:rsid w:val="00076759"/>
    <w:rsid w:val="00076C6C"/>
    <w:rsid w:val="00077073"/>
    <w:rsid w:val="00077800"/>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5B"/>
    <w:rsid w:val="000862BA"/>
    <w:rsid w:val="000862F6"/>
    <w:rsid w:val="00086849"/>
    <w:rsid w:val="00086AD4"/>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52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1AA"/>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261"/>
    <w:rsid w:val="000F34C7"/>
    <w:rsid w:val="000F3B40"/>
    <w:rsid w:val="000F3BD3"/>
    <w:rsid w:val="000F3F2F"/>
    <w:rsid w:val="000F42EA"/>
    <w:rsid w:val="000F4377"/>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AA0"/>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A61"/>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A7D12"/>
    <w:rsid w:val="001B00B2"/>
    <w:rsid w:val="001B0149"/>
    <w:rsid w:val="001B0251"/>
    <w:rsid w:val="001B08AF"/>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EF"/>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E70"/>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CE8"/>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F1"/>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0D"/>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7ED"/>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6D"/>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1931"/>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3896"/>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5C5"/>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1E0"/>
    <w:rsid w:val="00352759"/>
    <w:rsid w:val="00352828"/>
    <w:rsid w:val="00352952"/>
    <w:rsid w:val="00352A75"/>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CA7"/>
    <w:rsid w:val="00392DB8"/>
    <w:rsid w:val="00393A04"/>
    <w:rsid w:val="00393A68"/>
    <w:rsid w:val="00393B78"/>
    <w:rsid w:val="003946B1"/>
    <w:rsid w:val="00394775"/>
    <w:rsid w:val="00394948"/>
    <w:rsid w:val="00394B44"/>
    <w:rsid w:val="00394D6C"/>
    <w:rsid w:val="0039502C"/>
    <w:rsid w:val="0039511F"/>
    <w:rsid w:val="00395444"/>
    <w:rsid w:val="003954DE"/>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A77CA"/>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B59"/>
    <w:rsid w:val="003D0D75"/>
    <w:rsid w:val="003D1F11"/>
    <w:rsid w:val="003D2254"/>
    <w:rsid w:val="003D22AC"/>
    <w:rsid w:val="003D2339"/>
    <w:rsid w:val="003D24B7"/>
    <w:rsid w:val="003D26AA"/>
    <w:rsid w:val="003D2E43"/>
    <w:rsid w:val="003D3B88"/>
    <w:rsid w:val="003D3EBB"/>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BEF"/>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768"/>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56E"/>
    <w:rsid w:val="00411662"/>
    <w:rsid w:val="004116C3"/>
    <w:rsid w:val="004118A8"/>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0E7"/>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9A"/>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93A"/>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06A"/>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1F5"/>
    <w:rsid w:val="004F4B9E"/>
    <w:rsid w:val="004F4E53"/>
    <w:rsid w:val="004F58AB"/>
    <w:rsid w:val="004F5D6E"/>
    <w:rsid w:val="004F5EBB"/>
    <w:rsid w:val="004F5FAA"/>
    <w:rsid w:val="004F6142"/>
    <w:rsid w:val="004F6AFE"/>
    <w:rsid w:val="004F6F20"/>
    <w:rsid w:val="004F6F96"/>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421"/>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C0F"/>
    <w:rsid w:val="00513F8F"/>
    <w:rsid w:val="0051426D"/>
    <w:rsid w:val="005147E7"/>
    <w:rsid w:val="005149A2"/>
    <w:rsid w:val="00514CEE"/>
    <w:rsid w:val="005150E4"/>
    <w:rsid w:val="00515319"/>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E36"/>
    <w:rsid w:val="00533F4E"/>
    <w:rsid w:val="00533F77"/>
    <w:rsid w:val="00534238"/>
    <w:rsid w:val="005347FB"/>
    <w:rsid w:val="00534963"/>
    <w:rsid w:val="005349EB"/>
    <w:rsid w:val="00534AA6"/>
    <w:rsid w:val="00534C83"/>
    <w:rsid w:val="00534EE4"/>
    <w:rsid w:val="00534EE7"/>
    <w:rsid w:val="00535A27"/>
    <w:rsid w:val="00535B60"/>
    <w:rsid w:val="00535EA5"/>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3FF"/>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0DA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26"/>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85"/>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0B"/>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022"/>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4E"/>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38"/>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7E5"/>
    <w:rsid w:val="006709F4"/>
    <w:rsid w:val="00670AD6"/>
    <w:rsid w:val="00670ECD"/>
    <w:rsid w:val="00671010"/>
    <w:rsid w:val="0067106A"/>
    <w:rsid w:val="0067138E"/>
    <w:rsid w:val="006713AE"/>
    <w:rsid w:val="00671B4F"/>
    <w:rsid w:val="00671CA8"/>
    <w:rsid w:val="006725CC"/>
    <w:rsid w:val="0067261D"/>
    <w:rsid w:val="0067273D"/>
    <w:rsid w:val="00672966"/>
    <w:rsid w:val="0067321B"/>
    <w:rsid w:val="006733E3"/>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0CC6"/>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4A6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0C9A"/>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B44"/>
    <w:rsid w:val="00714065"/>
    <w:rsid w:val="00714186"/>
    <w:rsid w:val="00714312"/>
    <w:rsid w:val="0071459D"/>
    <w:rsid w:val="00714796"/>
    <w:rsid w:val="00714CA1"/>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041"/>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B63"/>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2EDB"/>
    <w:rsid w:val="007A32E9"/>
    <w:rsid w:val="007A3395"/>
    <w:rsid w:val="007A3505"/>
    <w:rsid w:val="007A3BF2"/>
    <w:rsid w:val="007A4338"/>
    <w:rsid w:val="007A4AF1"/>
    <w:rsid w:val="007A4B32"/>
    <w:rsid w:val="007A5050"/>
    <w:rsid w:val="007A5288"/>
    <w:rsid w:val="007A5886"/>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09"/>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F2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504"/>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53BF"/>
    <w:rsid w:val="00856301"/>
    <w:rsid w:val="008564E7"/>
    <w:rsid w:val="008569DF"/>
    <w:rsid w:val="00856D2B"/>
    <w:rsid w:val="00856E4A"/>
    <w:rsid w:val="00857165"/>
    <w:rsid w:val="0085722A"/>
    <w:rsid w:val="008572C0"/>
    <w:rsid w:val="008574C8"/>
    <w:rsid w:val="00857686"/>
    <w:rsid w:val="00857C34"/>
    <w:rsid w:val="00857E1F"/>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2E3A"/>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40"/>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555"/>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5E1"/>
    <w:rsid w:val="008C4B47"/>
    <w:rsid w:val="008C570A"/>
    <w:rsid w:val="008C59D5"/>
    <w:rsid w:val="008C5B10"/>
    <w:rsid w:val="008C61A7"/>
    <w:rsid w:val="008C6780"/>
    <w:rsid w:val="008C6970"/>
    <w:rsid w:val="008C698E"/>
    <w:rsid w:val="008C6BC6"/>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52"/>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8DE"/>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C98"/>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281"/>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696B"/>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2D"/>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70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A59"/>
    <w:rsid w:val="00A76BF2"/>
    <w:rsid w:val="00A76C61"/>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3B6"/>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E3B"/>
    <w:rsid w:val="00A91F3E"/>
    <w:rsid w:val="00A92457"/>
    <w:rsid w:val="00A927EE"/>
    <w:rsid w:val="00A92B81"/>
    <w:rsid w:val="00A934FE"/>
    <w:rsid w:val="00A93800"/>
    <w:rsid w:val="00A938E5"/>
    <w:rsid w:val="00A93942"/>
    <w:rsid w:val="00A93BDA"/>
    <w:rsid w:val="00A93E34"/>
    <w:rsid w:val="00A93FAE"/>
    <w:rsid w:val="00A94A70"/>
    <w:rsid w:val="00A94BB8"/>
    <w:rsid w:val="00A94F1E"/>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184"/>
    <w:rsid w:val="00AA2712"/>
    <w:rsid w:val="00AA271C"/>
    <w:rsid w:val="00AA29F2"/>
    <w:rsid w:val="00AA2CD8"/>
    <w:rsid w:val="00AA30A2"/>
    <w:rsid w:val="00AA32EC"/>
    <w:rsid w:val="00AA461D"/>
    <w:rsid w:val="00AA4A92"/>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839"/>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873"/>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20"/>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575"/>
    <w:rsid w:val="00B239CC"/>
    <w:rsid w:val="00B23C57"/>
    <w:rsid w:val="00B23E2E"/>
    <w:rsid w:val="00B240FE"/>
    <w:rsid w:val="00B24F49"/>
    <w:rsid w:val="00B25585"/>
    <w:rsid w:val="00B256C2"/>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8"/>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AD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174"/>
    <w:rsid w:val="00B772AA"/>
    <w:rsid w:val="00B774CC"/>
    <w:rsid w:val="00B77B57"/>
    <w:rsid w:val="00B77D8A"/>
    <w:rsid w:val="00B8053A"/>
    <w:rsid w:val="00B80795"/>
    <w:rsid w:val="00B80797"/>
    <w:rsid w:val="00B80F5B"/>
    <w:rsid w:val="00B8103A"/>
    <w:rsid w:val="00B81578"/>
    <w:rsid w:val="00B81684"/>
    <w:rsid w:val="00B817F4"/>
    <w:rsid w:val="00B8191A"/>
    <w:rsid w:val="00B81C56"/>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2F3A"/>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6EE"/>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73D"/>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0"/>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CE"/>
    <w:rsid w:val="00BF2C65"/>
    <w:rsid w:val="00BF31CB"/>
    <w:rsid w:val="00BF3AE6"/>
    <w:rsid w:val="00BF3C10"/>
    <w:rsid w:val="00BF469E"/>
    <w:rsid w:val="00BF46F1"/>
    <w:rsid w:val="00BF4923"/>
    <w:rsid w:val="00BF4A68"/>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AD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C0B"/>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6"/>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3E4"/>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2CA"/>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02"/>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33E"/>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6AA"/>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565"/>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301"/>
    <w:rsid w:val="00DA0989"/>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6ECF"/>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1A9E"/>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014"/>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7B8"/>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9C3"/>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51"/>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D0"/>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2F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0A4"/>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0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5F6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BC7"/>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1D"/>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0C7"/>
    <w:rsid w:val="00F20242"/>
    <w:rsid w:val="00F206FE"/>
    <w:rsid w:val="00F20998"/>
    <w:rsid w:val="00F20C7C"/>
    <w:rsid w:val="00F20D66"/>
    <w:rsid w:val="00F20EF1"/>
    <w:rsid w:val="00F20F5B"/>
    <w:rsid w:val="00F21048"/>
    <w:rsid w:val="00F210AB"/>
    <w:rsid w:val="00F2157F"/>
    <w:rsid w:val="00F2169A"/>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DAD"/>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5D0"/>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6B0"/>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3D9"/>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64"/>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8CB"/>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0647081">
      <w:bodyDiv w:val="1"/>
      <w:marLeft w:val="0"/>
      <w:marRight w:val="0"/>
      <w:marTop w:val="0"/>
      <w:marBottom w:val="0"/>
      <w:divBdr>
        <w:top w:val="none" w:sz="0" w:space="0" w:color="auto"/>
        <w:left w:val="none" w:sz="0" w:space="0" w:color="auto"/>
        <w:bottom w:val="none" w:sz="0" w:space="0" w:color="auto"/>
        <w:right w:val="none" w:sz="0" w:space="0" w:color="auto"/>
      </w:divBdr>
      <w:divsChild>
        <w:div w:id="2118675694">
          <w:marLeft w:val="216"/>
          <w:marRight w:val="0"/>
          <w:marTop w:val="240"/>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097093">
      <w:bodyDiv w:val="1"/>
      <w:marLeft w:val="0"/>
      <w:marRight w:val="0"/>
      <w:marTop w:val="0"/>
      <w:marBottom w:val="0"/>
      <w:divBdr>
        <w:top w:val="none" w:sz="0" w:space="0" w:color="auto"/>
        <w:left w:val="none" w:sz="0" w:space="0" w:color="auto"/>
        <w:bottom w:val="none" w:sz="0" w:space="0" w:color="auto"/>
        <w:right w:val="none" w:sz="0" w:space="0" w:color="auto"/>
      </w:divBdr>
      <w:divsChild>
        <w:div w:id="650406965">
          <w:marLeft w:val="547"/>
          <w:marRight w:val="0"/>
          <w:marTop w:val="86"/>
          <w:marBottom w:val="0"/>
          <w:divBdr>
            <w:top w:val="none" w:sz="0" w:space="0" w:color="auto"/>
            <w:left w:val="none" w:sz="0" w:space="0" w:color="auto"/>
            <w:bottom w:val="none" w:sz="0" w:space="0" w:color="auto"/>
            <w:right w:val="none" w:sz="0" w:space="0" w:color="auto"/>
          </w:divBdr>
        </w:div>
        <w:div w:id="1595357608">
          <w:marLeft w:val="1166"/>
          <w:marRight w:val="0"/>
          <w:marTop w:val="77"/>
          <w:marBottom w:val="0"/>
          <w:divBdr>
            <w:top w:val="none" w:sz="0" w:space="0" w:color="auto"/>
            <w:left w:val="none" w:sz="0" w:space="0" w:color="auto"/>
            <w:bottom w:val="none" w:sz="0" w:space="0" w:color="auto"/>
            <w:right w:val="none" w:sz="0" w:space="0" w:color="auto"/>
          </w:divBdr>
        </w:div>
        <w:div w:id="1606038920">
          <w:marLeft w:val="1166"/>
          <w:marRight w:val="0"/>
          <w:marTop w:val="77"/>
          <w:marBottom w:val="0"/>
          <w:divBdr>
            <w:top w:val="none" w:sz="0" w:space="0" w:color="auto"/>
            <w:left w:val="none" w:sz="0" w:space="0" w:color="auto"/>
            <w:bottom w:val="none" w:sz="0" w:space="0" w:color="auto"/>
            <w:right w:val="none" w:sz="0" w:space="0" w:color="auto"/>
          </w:divBdr>
        </w:div>
        <w:div w:id="30226744">
          <w:marLeft w:val="1166"/>
          <w:marRight w:val="0"/>
          <w:marTop w:val="77"/>
          <w:marBottom w:val="0"/>
          <w:divBdr>
            <w:top w:val="none" w:sz="0" w:space="0" w:color="auto"/>
            <w:left w:val="none" w:sz="0" w:space="0" w:color="auto"/>
            <w:bottom w:val="none" w:sz="0" w:space="0" w:color="auto"/>
            <w:right w:val="none" w:sz="0" w:space="0" w:color="auto"/>
          </w:divBdr>
        </w:div>
        <w:div w:id="822429818">
          <w:marLeft w:val="1627"/>
          <w:marRight w:val="0"/>
          <w:marTop w:val="67"/>
          <w:marBottom w:val="0"/>
          <w:divBdr>
            <w:top w:val="none" w:sz="0" w:space="0" w:color="auto"/>
            <w:left w:val="none" w:sz="0" w:space="0" w:color="auto"/>
            <w:bottom w:val="none" w:sz="0" w:space="0" w:color="auto"/>
            <w:right w:val="none" w:sz="0" w:space="0" w:color="auto"/>
          </w:divBdr>
        </w:div>
        <w:div w:id="1821922635">
          <w:marLeft w:val="1627"/>
          <w:marRight w:val="0"/>
          <w:marTop w:val="67"/>
          <w:marBottom w:val="0"/>
          <w:divBdr>
            <w:top w:val="none" w:sz="0" w:space="0" w:color="auto"/>
            <w:left w:val="none" w:sz="0" w:space="0" w:color="auto"/>
            <w:bottom w:val="none" w:sz="0" w:space="0" w:color="auto"/>
            <w:right w:val="none" w:sz="0" w:space="0" w:color="auto"/>
          </w:divBdr>
        </w:div>
        <w:div w:id="2128616315">
          <w:marLeft w:val="2074"/>
          <w:marRight w:val="0"/>
          <w:marTop w:val="58"/>
          <w:marBottom w:val="0"/>
          <w:divBdr>
            <w:top w:val="none" w:sz="0" w:space="0" w:color="auto"/>
            <w:left w:val="none" w:sz="0" w:space="0" w:color="auto"/>
            <w:bottom w:val="none" w:sz="0" w:space="0" w:color="auto"/>
            <w:right w:val="none" w:sz="0" w:space="0" w:color="auto"/>
          </w:divBdr>
        </w:div>
        <w:div w:id="1838688888">
          <w:marLeft w:val="2074"/>
          <w:marRight w:val="0"/>
          <w:marTop w:val="58"/>
          <w:marBottom w:val="0"/>
          <w:divBdr>
            <w:top w:val="none" w:sz="0" w:space="0" w:color="auto"/>
            <w:left w:val="none" w:sz="0" w:space="0" w:color="auto"/>
            <w:bottom w:val="none" w:sz="0" w:space="0" w:color="auto"/>
            <w:right w:val="none" w:sz="0" w:space="0" w:color="auto"/>
          </w:divBdr>
        </w:div>
        <w:div w:id="681736668">
          <w:marLeft w:val="547"/>
          <w:marRight w:val="0"/>
          <w:marTop w:val="86"/>
          <w:marBottom w:val="0"/>
          <w:divBdr>
            <w:top w:val="none" w:sz="0" w:space="0" w:color="auto"/>
            <w:left w:val="none" w:sz="0" w:space="0" w:color="auto"/>
            <w:bottom w:val="none" w:sz="0" w:space="0" w:color="auto"/>
            <w:right w:val="none" w:sz="0" w:space="0" w:color="auto"/>
          </w:divBdr>
        </w:div>
        <w:div w:id="1727872561">
          <w:marLeft w:val="1166"/>
          <w:marRight w:val="0"/>
          <w:marTop w:val="77"/>
          <w:marBottom w:val="0"/>
          <w:divBdr>
            <w:top w:val="none" w:sz="0" w:space="0" w:color="auto"/>
            <w:left w:val="none" w:sz="0" w:space="0" w:color="auto"/>
            <w:bottom w:val="none" w:sz="0" w:space="0" w:color="auto"/>
            <w:right w:val="none" w:sz="0" w:space="0" w:color="auto"/>
          </w:divBdr>
        </w:div>
        <w:div w:id="377508513">
          <w:marLeft w:val="1166"/>
          <w:marRight w:val="0"/>
          <w:marTop w:val="77"/>
          <w:marBottom w:val="0"/>
          <w:divBdr>
            <w:top w:val="none" w:sz="0" w:space="0" w:color="auto"/>
            <w:left w:val="none" w:sz="0" w:space="0" w:color="auto"/>
            <w:bottom w:val="none" w:sz="0" w:space="0" w:color="auto"/>
            <w:right w:val="none" w:sz="0" w:space="0" w:color="auto"/>
          </w:divBdr>
        </w:div>
        <w:div w:id="1654522064">
          <w:marLeft w:val="1627"/>
          <w:marRight w:val="0"/>
          <w:marTop w:val="67"/>
          <w:marBottom w:val="0"/>
          <w:divBdr>
            <w:top w:val="none" w:sz="0" w:space="0" w:color="auto"/>
            <w:left w:val="none" w:sz="0" w:space="0" w:color="auto"/>
            <w:bottom w:val="none" w:sz="0" w:space="0" w:color="auto"/>
            <w:right w:val="none" w:sz="0" w:space="0" w:color="auto"/>
          </w:divBdr>
        </w:div>
        <w:div w:id="1867063483">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HR33RHYHUWRF-4-15431</_dlc_DocId>
    <_dlc_DocIdUrl xmlns="c06861ca-3f08-4d07-bff7-bb15bac121f4">
      <Url>https://projects.qualcomm.com/sites/pentari/_layouts/15/DocIdRedir.aspx?ID=HR33RHYHUWRF-4-15431</Url>
      <Description>HR33RHYHUWRF-4-15431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FDFCA3BA-263E-4167-96C1-9FBC8386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TotalTime>
  <Pages>6</Pages>
  <Words>2835</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Peter Gaal</cp:lastModifiedBy>
  <cp:revision>5</cp:revision>
  <cp:lastPrinted>2014-11-07T05:38:00Z</cp:lastPrinted>
  <dcterms:created xsi:type="dcterms:W3CDTF">2019-08-17T04:14:00Z</dcterms:created>
  <dcterms:modified xsi:type="dcterms:W3CDTF">2019-08-17T04:59:00Z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55ee6450-0d4a-42a4-9ef4-61c6eecc89e2</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